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0B" w:rsidRPr="00B474FF" w:rsidRDefault="004810B8" w:rsidP="00B474FF">
      <w:pPr>
        <w:rPr>
          <w:b/>
          <w:bCs/>
        </w:rPr>
      </w:pPr>
      <w:r w:rsidRPr="00B474FF">
        <w:rPr>
          <w:b/>
          <w:bCs/>
        </w:rPr>
        <w:t xml:space="preserve">Appendix </w:t>
      </w:r>
      <w:r w:rsidR="00B474FF" w:rsidRPr="00B474FF">
        <w:rPr>
          <w:b/>
          <w:bCs/>
        </w:rPr>
        <w:t>'</w:t>
      </w:r>
      <w:r w:rsidRPr="00B474FF">
        <w:rPr>
          <w:b/>
          <w:bCs/>
        </w:rPr>
        <w:t>B</w:t>
      </w:r>
      <w:r w:rsidR="00B474FF" w:rsidRPr="00B474FF">
        <w:rPr>
          <w:b/>
          <w:bCs/>
        </w:rPr>
        <w:t>'</w:t>
      </w:r>
    </w:p>
    <w:p w:rsidR="0040630B" w:rsidRDefault="0040630B" w:rsidP="0040630B">
      <w:pPr>
        <w:jc w:val="right"/>
        <w:rPr>
          <w:b/>
          <w:bCs/>
        </w:rPr>
      </w:pPr>
    </w:p>
    <w:p w:rsidR="0040630B" w:rsidRDefault="0040630B" w:rsidP="0040630B">
      <w:pPr>
        <w:pBdr>
          <w:bottom w:val="single" w:sz="12" w:space="1" w:color="auto"/>
        </w:pBdr>
        <w:rPr>
          <w:b/>
          <w:bCs/>
          <w:sz w:val="28"/>
          <w:szCs w:val="28"/>
        </w:rPr>
      </w:pPr>
      <w:r>
        <w:rPr>
          <w:b/>
          <w:bCs/>
          <w:sz w:val="28"/>
          <w:szCs w:val="28"/>
        </w:rPr>
        <w:t>The County Council's Treasury Management Strategy 201</w:t>
      </w:r>
      <w:r w:rsidR="006F5953">
        <w:rPr>
          <w:b/>
          <w:bCs/>
          <w:sz w:val="28"/>
          <w:szCs w:val="28"/>
        </w:rPr>
        <w:t>4</w:t>
      </w:r>
      <w:r>
        <w:rPr>
          <w:b/>
          <w:bCs/>
          <w:sz w:val="28"/>
          <w:szCs w:val="28"/>
        </w:rPr>
        <w:t>/</w:t>
      </w:r>
      <w:r w:rsidR="00822F06">
        <w:rPr>
          <w:b/>
          <w:bCs/>
          <w:sz w:val="28"/>
          <w:szCs w:val="28"/>
        </w:rPr>
        <w:t>1</w:t>
      </w:r>
      <w:r w:rsidR="006F5953">
        <w:rPr>
          <w:b/>
          <w:bCs/>
          <w:sz w:val="28"/>
          <w:szCs w:val="28"/>
        </w:rPr>
        <w:t>5</w:t>
      </w:r>
    </w:p>
    <w:p w:rsidR="0040630B" w:rsidRDefault="0040630B" w:rsidP="0040630B">
      <w:pPr>
        <w:rPr>
          <w:b/>
          <w:bCs/>
        </w:rPr>
      </w:pPr>
    </w:p>
    <w:p w:rsidR="0040630B" w:rsidRPr="002D3D61" w:rsidRDefault="004A19C1" w:rsidP="00025990">
      <w:pPr>
        <w:rPr>
          <w:b/>
          <w:bCs/>
          <w:sz w:val="28"/>
          <w:szCs w:val="28"/>
        </w:rPr>
      </w:pPr>
      <w:r w:rsidRPr="004A19C1">
        <w:rPr>
          <w:b/>
          <w:bCs/>
          <w:sz w:val="28"/>
          <w:szCs w:val="28"/>
        </w:rPr>
        <w:t>Introduction and Legislative Framework</w:t>
      </w:r>
    </w:p>
    <w:p w:rsidR="0040630B" w:rsidRDefault="0040630B" w:rsidP="00025990"/>
    <w:p w:rsidR="00633767" w:rsidRPr="001143BB" w:rsidRDefault="00382F7B" w:rsidP="00633767">
      <w:pPr>
        <w:jc w:val="both"/>
      </w:pPr>
      <w:r w:rsidRPr="001143BB">
        <w:t>Under the Local Government Act 2003, lo</w:t>
      </w:r>
      <w:r w:rsidR="00800801" w:rsidRPr="001143BB">
        <w:t>c</w:t>
      </w:r>
      <w:r w:rsidRPr="001143BB">
        <w:t>al authorities must</w:t>
      </w:r>
      <w:r w:rsidR="008C3C8B" w:rsidRPr="001143BB">
        <w:t xml:space="preserve"> have regard to Statutory Proper Practices in their Treasury Management activities. </w:t>
      </w:r>
      <w:r w:rsidR="00633767" w:rsidRPr="001143BB">
        <w:t>In</w:t>
      </w:r>
      <w:r w:rsidR="00633767" w:rsidRPr="001143BB">
        <w:rPr>
          <w:i/>
          <w:lang w:eastAsia="en-US"/>
        </w:rPr>
        <w:t xml:space="preserve"> </w:t>
      </w:r>
      <w:r w:rsidR="00633767" w:rsidRPr="001143BB">
        <w:rPr>
          <w:lang w:eastAsia="en-US"/>
        </w:rPr>
        <w:t>February 2012</w:t>
      </w:r>
      <w:r w:rsidR="00633767" w:rsidRPr="001143BB">
        <w:t xml:space="preserve"> the Council adopted the Chartered Institute of Public Finance and Accountancy’s</w:t>
      </w:r>
      <w:r w:rsidR="00633767" w:rsidRPr="001143BB">
        <w:rPr>
          <w:i/>
        </w:rPr>
        <w:t xml:space="preserve"> Treasury Management in the Public Services: Code of Practice 2011 Edition </w:t>
      </w:r>
      <w:r w:rsidR="00633767" w:rsidRPr="001143BB">
        <w:t>(the CIPFA Code</w:t>
      </w:r>
      <w:r w:rsidR="00B474FF">
        <w:t>).</w:t>
      </w:r>
    </w:p>
    <w:p w:rsidR="00B474FF" w:rsidRDefault="00B474FF" w:rsidP="00025990"/>
    <w:p w:rsidR="004810B8" w:rsidRPr="001143BB" w:rsidRDefault="008C3C8B" w:rsidP="00B474FF">
      <w:pPr>
        <w:jc w:val="both"/>
      </w:pPr>
      <w:r w:rsidRPr="001143BB">
        <w:t>These together require the County Council on an annual basis to set out its strategy in relation to key aspects of its treasury management operations over the coming year</w:t>
      </w:r>
      <w:r w:rsidR="00F637E1" w:rsidRPr="001143BB">
        <w:t>.</w:t>
      </w:r>
    </w:p>
    <w:p w:rsidR="00633767" w:rsidRPr="001143BB" w:rsidRDefault="00633767" w:rsidP="00633767">
      <w:pPr>
        <w:jc w:val="both"/>
      </w:pPr>
    </w:p>
    <w:p w:rsidR="00633767" w:rsidRPr="001143BB" w:rsidRDefault="00633767" w:rsidP="00633767">
      <w:pPr>
        <w:jc w:val="both"/>
      </w:pPr>
      <w:r w:rsidRPr="001143BB">
        <w:t xml:space="preserve">In addition, </w:t>
      </w:r>
      <w:r w:rsidR="00EB72FD">
        <w:t>in accordance with government guidance on</w:t>
      </w:r>
      <w:r w:rsidRPr="001143BB">
        <w:t xml:space="preserve"> local authority investments</w:t>
      </w:r>
      <w:r w:rsidR="00EB72FD">
        <w:t>,</w:t>
      </w:r>
      <w:r w:rsidRPr="001143BB">
        <w:t xml:space="preserve"> the Council</w:t>
      </w:r>
      <w:r w:rsidR="00EB72FD">
        <w:t xml:space="preserve"> is required</w:t>
      </w:r>
      <w:r w:rsidRPr="001143BB">
        <w:t xml:space="preserve"> to approve an investment strategy before the start of each financial year.</w:t>
      </w:r>
    </w:p>
    <w:p w:rsidR="00633767" w:rsidRPr="001143BB" w:rsidRDefault="00633767" w:rsidP="00025990"/>
    <w:p w:rsidR="004810B8" w:rsidRPr="001143BB" w:rsidRDefault="008C3C8B" w:rsidP="00025990">
      <w:r w:rsidRPr="001143BB">
        <w:t>In line with these various requirements this</w:t>
      </w:r>
      <w:r w:rsidR="004810B8" w:rsidRPr="001143BB">
        <w:t xml:space="preserve"> strategy includes:</w:t>
      </w:r>
    </w:p>
    <w:p w:rsidR="004810B8" w:rsidRPr="001143BB" w:rsidRDefault="004810B8" w:rsidP="00025990"/>
    <w:p w:rsidR="00D8240B" w:rsidRPr="001143BB" w:rsidRDefault="004810B8" w:rsidP="00574AC0">
      <w:pPr>
        <w:pStyle w:val="ListParagraph"/>
        <w:numPr>
          <w:ilvl w:val="0"/>
          <w:numId w:val="3"/>
        </w:numPr>
      </w:pPr>
      <w:r w:rsidRPr="001143BB">
        <w:t>The Annual Borrowing Strategy</w:t>
      </w:r>
      <w:r w:rsidR="004B52FC">
        <w:t xml:space="preserve"> (1 below)</w:t>
      </w:r>
      <w:r w:rsidR="00D8240B" w:rsidRPr="001143BB">
        <w:t xml:space="preserve"> </w:t>
      </w:r>
    </w:p>
    <w:p w:rsidR="00D8240B" w:rsidRPr="001143BB" w:rsidRDefault="00D8240B" w:rsidP="00574AC0">
      <w:pPr>
        <w:pStyle w:val="ListParagraph"/>
        <w:numPr>
          <w:ilvl w:val="0"/>
          <w:numId w:val="3"/>
        </w:numPr>
      </w:pPr>
      <w:r w:rsidRPr="001143BB">
        <w:t>The Council's Policy on Borrowing in Advance of Need</w:t>
      </w:r>
      <w:r w:rsidR="004B52FC">
        <w:t xml:space="preserve"> (2 below)</w:t>
      </w:r>
    </w:p>
    <w:p w:rsidR="004810B8" w:rsidRPr="001143BB" w:rsidRDefault="004810B8" w:rsidP="00574AC0">
      <w:pPr>
        <w:pStyle w:val="ListParagraph"/>
        <w:numPr>
          <w:ilvl w:val="0"/>
          <w:numId w:val="3"/>
        </w:numPr>
      </w:pPr>
      <w:r w:rsidRPr="001143BB">
        <w:t>The Annual Investment Strategy</w:t>
      </w:r>
      <w:r w:rsidR="004B52FC">
        <w:t xml:space="preserve"> (3 below)</w:t>
      </w:r>
    </w:p>
    <w:p w:rsidR="00D8240B" w:rsidRDefault="00D8240B" w:rsidP="00574AC0">
      <w:pPr>
        <w:pStyle w:val="ListParagraph"/>
        <w:numPr>
          <w:ilvl w:val="0"/>
          <w:numId w:val="3"/>
        </w:numPr>
      </w:pPr>
      <w:r w:rsidRPr="001143BB">
        <w:t>The Prudential Indicators</w:t>
      </w:r>
      <w:r w:rsidR="004B52FC">
        <w:t xml:space="preserve"> (Annex A to this Appendix)</w:t>
      </w:r>
      <w:r w:rsidRPr="001143BB">
        <w:t xml:space="preserve"> </w:t>
      </w:r>
    </w:p>
    <w:p w:rsidR="00043D64" w:rsidRPr="001143BB" w:rsidRDefault="00043D64" w:rsidP="00574AC0">
      <w:pPr>
        <w:pStyle w:val="ListParagraph"/>
        <w:numPr>
          <w:ilvl w:val="0"/>
          <w:numId w:val="3"/>
        </w:numPr>
      </w:pPr>
      <w:r>
        <w:t>The Annual MRP statement</w:t>
      </w:r>
      <w:r w:rsidR="004B52FC">
        <w:t xml:space="preserve"> (Appendix C to the report)</w:t>
      </w:r>
    </w:p>
    <w:p w:rsidR="004810B8" w:rsidRPr="001143BB" w:rsidRDefault="004810B8" w:rsidP="00025990"/>
    <w:p w:rsidR="0040630B" w:rsidRPr="001143BB" w:rsidRDefault="004810B8" w:rsidP="00B474FF">
      <w:pPr>
        <w:jc w:val="both"/>
      </w:pPr>
      <w:r w:rsidRPr="001143BB">
        <w:t xml:space="preserve">In conjunction with the Treasury Management Policy Statement and the detailed Treasury Management Practices </w:t>
      </w:r>
      <w:r w:rsidR="002465A9" w:rsidRPr="001143BB">
        <w:t xml:space="preserve">approved </w:t>
      </w:r>
      <w:r w:rsidRPr="001143BB">
        <w:t>by the County Treasurer</w:t>
      </w:r>
      <w:r w:rsidR="002465A9" w:rsidRPr="001143BB">
        <w:t>,</w:t>
      </w:r>
      <w:r w:rsidRPr="001143BB">
        <w:t xml:space="preserve"> these </w:t>
      </w:r>
      <w:r w:rsidR="008C3C8B" w:rsidRPr="001143BB">
        <w:t>provide</w:t>
      </w:r>
      <w:r w:rsidRPr="001143BB">
        <w:t xml:space="preserve"> the policy framework for the engagement of the County Council with the financial markets in order to fund its capital investment programme and maintain the </w:t>
      </w:r>
      <w:r w:rsidR="00382F7B" w:rsidRPr="001143BB">
        <w:t xml:space="preserve">security </w:t>
      </w:r>
      <w:r w:rsidRPr="001143BB">
        <w:t xml:space="preserve">of its cash balances. </w:t>
      </w:r>
      <w:r w:rsidR="00D8240B" w:rsidRPr="001143BB">
        <w:t xml:space="preserve"> </w:t>
      </w:r>
    </w:p>
    <w:p w:rsidR="0011617A" w:rsidRPr="001143BB" w:rsidRDefault="0011617A" w:rsidP="00025990">
      <w:pPr>
        <w:jc w:val="both"/>
        <w:rPr>
          <w:highlight w:val="yellow"/>
        </w:rPr>
      </w:pPr>
    </w:p>
    <w:p w:rsidR="007B4EF5" w:rsidRPr="001143BB" w:rsidRDefault="004A19C1" w:rsidP="00025990">
      <w:pPr>
        <w:jc w:val="both"/>
        <w:rPr>
          <w:sz w:val="28"/>
          <w:szCs w:val="28"/>
        </w:rPr>
      </w:pPr>
      <w:r w:rsidRPr="001143BB">
        <w:rPr>
          <w:b/>
          <w:sz w:val="28"/>
          <w:szCs w:val="28"/>
        </w:rPr>
        <w:t>Strategic Objectives</w:t>
      </w:r>
      <w:r w:rsidR="002D3D61" w:rsidRPr="001143BB">
        <w:rPr>
          <w:b/>
          <w:sz w:val="28"/>
          <w:szCs w:val="28"/>
        </w:rPr>
        <w:t xml:space="preserve"> of the Treasury Management Strategy</w:t>
      </w:r>
    </w:p>
    <w:p w:rsidR="007B4EF5" w:rsidRPr="001143BB" w:rsidRDefault="007B4EF5" w:rsidP="00025990">
      <w:pPr>
        <w:jc w:val="both"/>
      </w:pPr>
    </w:p>
    <w:p w:rsidR="007B4EF5" w:rsidRPr="001143BB" w:rsidRDefault="007B4EF5" w:rsidP="00025990">
      <w:pPr>
        <w:jc w:val="both"/>
      </w:pPr>
      <w:r w:rsidRPr="001143BB">
        <w:t xml:space="preserve">The </w:t>
      </w:r>
      <w:r w:rsidR="00382F7B" w:rsidRPr="001143BB">
        <w:t xml:space="preserve">County </w:t>
      </w:r>
      <w:r w:rsidRPr="001143BB">
        <w:t xml:space="preserve">Council's Treasury Management Strategy is </w:t>
      </w:r>
      <w:r w:rsidR="00382F7B" w:rsidRPr="001143BB">
        <w:t xml:space="preserve">designed </w:t>
      </w:r>
      <w:r w:rsidRPr="001143BB">
        <w:t>to achieve the following objectives:</w:t>
      </w:r>
    </w:p>
    <w:p w:rsidR="007B4EF5" w:rsidRPr="001143BB" w:rsidRDefault="007B4EF5" w:rsidP="00025990">
      <w:pPr>
        <w:jc w:val="both"/>
      </w:pPr>
    </w:p>
    <w:p w:rsidR="007B4EF5" w:rsidRPr="001143BB" w:rsidRDefault="007B4EF5" w:rsidP="00574AC0">
      <w:pPr>
        <w:pStyle w:val="ListParagraph"/>
        <w:numPr>
          <w:ilvl w:val="0"/>
          <w:numId w:val="4"/>
        </w:numPr>
        <w:jc w:val="both"/>
      </w:pPr>
      <w:r w:rsidRPr="001143BB">
        <w:t xml:space="preserve">To ensure the security of the principal sums invested which represent the </w:t>
      </w:r>
      <w:r w:rsidR="00382F7B" w:rsidRPr="001143BB">
        <w:t xml:space="preserve">County </w:t>
      </w:r>
      <w:r w:rsidRPr="001143BB">
        <w:t>Council's various reserves and balances</w:t>
      </w:r>
    </w:p>
    <w:p w:rsidR="007B4EF5" w:rsidRPr="001143BB" w:rsidRDefault="007B4EF5" w:rsidP="00574AC0">
      <w:pPr>
        <w:pStyle w:val="ListParagraph"/>
        <w:numPr>
          <w:ilvl w:val="0"/>
          <w:numId w:val="4"/>
        </w:numPr>
        <w:jc w:val="both"/>
      </w:pPr>
      <w:r w:rsidRPr="001143BB">
        <w:t xml:space="preserve">To ensure that the </w:t>
      </w:r>
      <w:r w:rsidR="00382F7B" w:rsidRPr="001143BB">
        <w:t xml:space="preserve">County </w:t>
      </w:r>
      <w:r w:rsidRPr="001143BB">
        <w:t>Council has access to cash resources as and when required</w:t>
      </w:r>
    </w:p>
    <w:p w:rsidR="00800801" w:rsidRPr="001143BB" w:rsidRDefault="00800801" w:rsidP="00800801">
      <w:pPr>
        <w:pStyle w:val="ListParagraph"/>
        <w:numPr>
          <w:ilvl w:val="0"/>
          <w:numId w:val="4"/>
        </w:numPr>
        <w:jc w:val="both"/>
      </w:pPr>
      <w:r w:rsidRPr="001143BB">
        <w:t>To minimise the cost of the borrowing required to finance the County Council's Capital Investment programme, and</w:t>
      </w:r>
    </w:p>
    <w:p w:rsidR="007B4EF5" w:rsidRPr="001143BB" w:rsidRDefault="007B4EF5" w:rsidP="00574AC0">
      <w:pPr>
        <w:pStyle w:val="ListParagraph"/>
        <w:numPr>
          <w:ilvl w:val="0"/>
          <w:numId w:val="4"/>
        </w:numPr>
        <w:jc w:val="both"/>
      </w:pPr>
      <w:r w:rsidRPr="001143BB">
        <w:t xml:space="preserve">To </w:t>
      </w:r>
      <w:r w:rsidR="005F7FAC" w:rsidRPr="001143BB">
        <w:t>maximise</w:t>
      </w:r>
      <w:r w:rsidRPr="001143BB">
        <w:t xml:space="preserve"> investment returns commensurate with </w:t>
      </w:r>
      <w:r w:rsidR="005F7FAC" w:rsidRPr="001143BB">
        <w:t xml:space="preserve">the </w:t>
      </w:r>
      <w:r w:rsidR="00382F7B" w:rsidRPr="001143BB">
        <w:t xml:space="preserve">County </w:t>
      </w:r>
      <w:r w:rsidR="005F7FAC" w:rsidRPr="001143BB">
        <w:t xml:space="preserve">Council's policy of </w:t>
      </w:r>
      <w:r w:rsidRPr="001143BB">
        <w:t xml:space="preserve">minimising </w:t>
      </w:r>
      <w:r w:rsidR="0011617A" w:rsidRPr="001143BB">
        <w:t>risks to the security of capital and its liquidity position.</w:t>
      </w:r>
    </w:p>
    <w:p w:rsidR="007B4EF5" w:rsidRPr="001143BB" w:rsidRDefault="007B4EF5" w:rsidP="00025990">
      <w:pPr>
        <w:jc w:val="both"/>
      </w:pPr>
    </w:p>
    <w:p w:rsidR="00DB40D8" w:rsidRPr="001143BB" w:rsidRDefault="007B4EF5" w:rsidP="00B474FF">
      <w:pPr>
        <w:spacing w:line="276" w:lineRule="auto"/>
        <w:jc w:val="both"/>
      </w:pPr>
      <w:r w:rsidRPr="001143BB">
        <w:lastRenderedPageBreak/>
        <w:t>In the context of these objectives it will be the</w:t>
      </w:r>
      <w:r w:rsidR="00F637E1" w:rsidRPr="001143BB">
        <w:t xml:space="preserve"> County</w:t>
      </w:r>
      <w:r w:rsidRPr="001143BB">
        <w:t xml:space="preserve"> Council's policy to hold as investments a sum as close to the cash value of its balance sheet as possible</w:t>
      </w:r>
      <w:r w:rsidR="00382F7B" w:rsidRPr="001143BB">
        <w:t>, matching both value and duration as closely as possible</w:t>
      </w:r>
      <w:r w:rsidRPr="001143BB">
        <w:t>.</w:t>
      </w:r>
    </w:p>
    <w:p w:rsidR="00025990" w:rsidRPr="001143BB" w:rsidRDefault="00025990" w:rsidP="00025990">
      <w:pPr>
        <w:spacing w:line="276" w:lineRule="auto"/>
        <w:rPr>
          <w:highlight w:val="yellow"/>
        </w:rPr>
      </w:pPr>
    </w:p>
    <w:p w:rsidR="0040630B" w:rsidRPr="001143BB" w:rsidRDefault="00D93999" w:rsidP="00025990">
      <w:pPr>
        <w:rPr>
          <w:b/>
          <w:bCs/>
          <w:sz w:val="28"/>
          <w:szCs w:val="28"/>
        </w:rPr>
      </w:pPr>
      <w:r w:rsidRPr="001143BB">
        <w:rPr>
          <w:b/>
          <w:bCs/>
          <w:sz w:val="28"/>
          <w:szCs w:val="28"/>
        </w:rPr>
        <w:t>Setting the Treasury Management Strategy for 201</w:t>
      </w:r>
      <w:r w:rsidR="000A2B50" w:rsidRPr="001143BB">
        <w:rPr>
          <w:b/>
          <w:bCs/>
          <w:sz w:val="28"/>
          <w:szCs w:val="28"/>
        </w:rPr>
        <w:t>4</w:t>
      </w:r>
      <w:r w:rsidRPr="001143BB">
        <w:rPr>
          <w:b/>
          <w:bCs/>
          <w:sz w:val="28"/>
          <w:szCs w:val="28"/>
        </w:rPr>
        <w:t>/1</w:t>
      </w:r>
      <w:r w:rsidR="000A2B50" w:rsidRPr="001143BB">
        <w:rPr>
          <w:b/>
          <w:bCs/>
          <w:sz w:val="28"/>
          <w:szCs w:val="28"/>
        </w:rPr>
        <w:t>5</w:t>
      </w:r>
    </w:p>
    <w:p w:rsidR="0040630B" w:rsidRPr="001143BB" w:rsidRDefault="0040630B" w:rsidP="00025990"/>
    <w:p w:rsidR="00B92DAE" w:rsidRPr="001143BB" w:rsidRDefault="0040630B" w:rsidP="00B474FF">
      <w:pPr>
        <w:jc w:val="both"/>
      </w:pPr>
      <w:r w:rsidRPr="001143BB">
        <w:t xml:space="preserve">In setting the treasury management strategy, the </w:t>
      </w:r>
      <w:r w:rsidR="00A56AE7" w:rsidRPr="001143BB">
        <w:t xml:space="preserve">County </w:t>
      </w:r>
      <w:r w:rsidR="00B92DAE" w:rsidRPr="001143BB">
        <w:t>Council must have regard to the following factors</w:t>
      </w:r>
      <w:r w:rsidR="00A56AE7" w:rsidRPr="001143BB">
        <w:t xml:space="preserve"> which will have a strong influence over the strategy</w:t>
      </w:r>
      <w:r w:rsidR="008C3C8B" w:rsidRPr="001143BB">
        <w:t xml:space="preserve"> adopted</w:t>
      </w:r>
      <w:r w:rsidR="00A56AE7" w:rsidRPr="001143BB">
        <w:t xml:space="preserve">: </w:t>
      </w:r>
    </w:p>
    <w:p w:rsidR="00B92DAE" w:rsidRPr="001143BB" w:rsidRDefault="00B92DAE" w:rsidP="00025990"/>
    <w:p w:rsidR="00215560" w:rsidRPr="001143BB" w:rsidRDefault="0040630B" w:rsidP="00574AC0">
      <w:pPr>
        <w:pStyle w:val="ListParagraph"/>
        <w:numPr>
          <w:ilvl w:val="0"/>
          <w:numId w:val="8"/>
        </w:numPr>
      </w:pPr>
      <w:r w:rsidRPr="001143BB">
        <w:t xml:space="preserve">economic forecasts, </w:t>
      </w:r>
    </w:p>
    <w:p w:rsidR="00215560" w:rsidRPr="001143BB" w:rsidRDefault="0040630B" w:rsidP="00574AC0">
      <w:pPr>
        <w:pStyle w:val="ListParagraph"/>
        <w:numPr>
          <w:ilvl w:val="0"/>
          <w:numId w:val="8"/>
        </w:numPr>
      </w:pPr>
      <w:r w:rsidRPr="001143BB">
        <w:t>the level of the approved Capital Programme</w:t>
      </w:r>
      <w:r w:rsidR="00AD0E87" w:rsidRPr="001143BB">
        <w:t xml:space="preserve"> which generates </w:t>
      </w:r>
      <w:r w:rsidR="000A1B41" w:rsidRPr="001143BB">
        <w:t>the borrowing requirement</w:t>
      </w:r>
      <w:r w:rsidR="00B92DAE" w:rsidRPr="001143BB">
        <w:t>,</w:t>
      </w:r>
    </w:p>
    <w:p w:rsidR="00215560" w:rsidRPr="001143BB" w:rsidRDefault="0040630B" w:rsidP="00574AC0">
      <w:pPr>
        <w:pStyle w:val="ListParagraph"/>
        <w:numPr>
          <w:ilvl w:val="0"/>
          <w:numId w:val="8"/>
        </w:numPr>
      </w:pPr>
      <w:r w:rsidRPr="001143BB">
        <w:t xml:space="preserve">the current structure of the </w:t>
      </w:r>
      <w:r w:rsidR="000A1B41" w:rsidRPr="001143BB">
        <w:t xml:space="preserve">County Council's </w:t>
      </w:r>
      <w:r w:rsidR="00E140AD" w:rsidRPr="001143BB">
        <w:t xml:space="preserve">investment and </w:t>
      </w:r>
      <w:r w:rsidRPr="001143BB">
        <w:t>debt portfolio</w:t>
      </w:r>
    </w:p>
    <w:p w:rsidR="00215560" w:rsidRPr="001143BB" w:rsidRDefault="00E13CB0" w:rsidP="00574AC0">
      <w:pPr>
        <w:numPr>
          <w:ilvl w:val="0"/>
          <w:numId w:val="8"/>
        </w:numPr>
      </w:pPr>
      <w:proofErr w:type="gramStart"/>
      <w:r w:rsidRPr="001143BB">
        <w:t>p</w:t>
      </w:r>
      <w:r w:rsidR="0040630B" w:rsidRPr="001143BB">
        <w:t>rospects</w:t>
      </w:r>
      <w:proofErr w:type="gramEnd"/>
      <w:r w:rsidR="0040630B" w:rsidRPr="001143BB">
        <w:t xml:space="preserve"> for interest rates</w:t>
      </w:r>
      <w:r w:rsidR="000A1B41" w:rsidRPr="001143BB">
        <w:t xml:space="preserve"> and</w:t>
      </w:r>
      <w:r w:rsidR="005F7FAC" w:rsidRPr="001143BB">
        <w:t xml:space="preserve"> market liquidity</w:t>
      </w:r>
      <w:r w:rsidR="00A56AE7" w:rsidRPr="001143BB">
        <w:t>.</w:t>
      </w:r>
      <w:r w:rsidR="000A1B41" w:rsidRPr="001143BB">
        <w:t xml:space="preserve"> </w:t>
      </w:r>
    </w:p>
    <w:p w:rsidR="00651301" w:rsidRPr="001143BB" w:rsidRDefault="00651301" w:rsidP="00025990"/>
    <w:p w:rsidR="00540D1B" w:rsidRPr="001143BB" w:rsidRDefault="007C4EB1" w:rsidP="00025990">
      <w:pPr>
        <w:jc w:val="both"/>
        <w:rPr>
          <w:i/>
        </w:rPr>
      </w:pPr>
      <w:r w:rsidRPr="001143BB">
        <w:rPr>
          <w:i/>
        </w:rPr>
        <w:t xml:space="preserve">Economic </w:t>
      </w:r>
      <w:r w:rsidR="003700CA" w:rsidRPr="001143BB">
        <w:rPr>
          <w:i/>
        </w:rPr>
        <w:t>context</w:t>
      </w:r>
    </w:p>
    <w:p w:rsidR="006F5953" w:rsidRPr="001143BB" w:rsidRDefault="006F5953" w:rsidP="00025990">
      <w:pPr>
        <w:jc w:val="both"/>
        <w:rPr>
          <w:i/>
        </w:rPr>
      </w:pPr>
    </w:p>
    <w:p w:rsidR="006F5953" w:rsidRPr="001143BB" w:rsidRDefault="006F5953" w:rsidP="006F5953">
      <w:pPr>
        <w:pStyle w:val="ListParagraph"/>
        <w:ind w:left="0"/>
        <w:jc w:val="both"/>
      </w:pPr>
      <w:r w:rsidRPr="001143BB">
        <w:t>The Bank of England’s Monetary Policy Committee (MPC) through its recent forward guidance is committed to keeping policy rates low for an extended period using the Labour Force Survey unemployment rate of 7% as a threshold for when it would consider whether or not to raise interest rates, subject to certain knock-outs.  Unemployment was 7.</w:t>
      </w:r>
      <w:r w:rsidR="00B27B53">
        <w:t>4</w:t>
      </w:r>
      <w:r w:rsidRPr="001143BB">
        <w:t xml:space="preserve">% </w:t>
      </w:r>
      <w:r w:rsidR="00B27B53">
        <w:t>October</w:t>
      </w:r>
      <w:r w:rsidRPr="001143BB">
        <w:t xml:space="preserve"> 2013, but is not forecast to fall below the threshold until 2016, due to the UK’s flexible workforce.</w:t>
      </w:r>
    </w:p>
    <w:p w:rsidR="006F5953" w:rsidRPr="001143BB" w:rsidRDefault="006F5953" w:rsidP="006F5953">
      <w:pPr>
        <w:pStyle w:val="ListParagraph"/>
        <w:ind w:left="0"/>
        <w:jc w:val="both"/>
      </w:pPr>
    </w:p>
    <w:p w:rsidR="006F5953" w:rsidRPr="001143BB" w:rsidRDefault="006F5953" w:rsidP="006F5953">
      <w:pPr>
        <w:pStyle w:val="ListParagraph"/>
        <w:ind w:left="0"/>
        <w:jc w:val="both"/>
      </w:pPr>
      <w:r w:rsidRPr="001143BB">
        <w:t xml:space="preserve">The flow of credit to households and businesses is slowly improving but is still below pre-crisis levels.  The fall in consumer price inflation from the high of 5.2% in September 2011 to 2.7% in September 2013 will allow real wage increases (i.e. after inflation) to slowly turn positive and aid consumer spending.  </w:t>
      </w:r>
    </w:p>
    <w:p w:rsidR="006F5953" w:rsidRPr="001143BB" w:rsidRDefault="006F5953" w:rsidP="006F5953">
      <w:pPr>
        <w:pStyle w:val="ListParagraph"/>
        <w:ind w:left="0"/>
        <w:jc w:val="both"/>
      </w:pPr>
    </w:p>
    <w:p w:rsidR="006F5953" w:rsidRPr="001143BB" w:rsidRDefault="006F5953" w:rsidP="006F5953">
      <w:pPr>
        <w:jc w:val="both"/>
      </w:pPr>
      <w:r w:rsidRPr="001143BB">
        <w:t>Stronger growth data in 2013 (0.4% in Q1, 0.7%</w:t>
      </w:r>
      <w:r w:rsidR="000A2B50" w:rsidRPr="001143BB">
        <w:t xml:space="preserve"> in Q2 and </w:t>
      </w:r>
      <w:r w:rsidRPr="001143BB">
        <w:t xml:space="preserve">0.8% in Q3) alongside a pick-up in property prices mainly stoked by government initiatives to boost mortgage lending have led markets to price in an earlier rise in rates than warranted under Forward Guidance and the broader economic backdrop. However, with jobs growth picking up slowly, many employees working shorter hours than they would like and benefit cuts set to gather pace, growth is likely to only be gradual. </w:t>
      </w:r>
      <w:r w:rsidR="005741FA">
        <w:t xml:space="preserve">The Council's adviser's </w:t>
      </w:r>
      <w:r w:rsidRPr="001143BB">
        <w:t>Arlingclose forecast</w:t>
      </w:r>
      <w:r w:rsidR="005741FA">
        <w:t xml:space="preserve"> that</w:t>
      </w:r>
      <w:r w:rsidRPr="001143BB">
        <w:t xml:space="preserve"> the MPC will maintain its resolve to keep interest rates low until the recovery is convincing and sustainable.   </w:t>
      </w:r>
    </w:p>
    <w:p w:rsidR="006F5953" w:rsidRPr="001143BB" w:rsidRDefault="006F5953" w:rsidP="006F5953">
      <w:pPr>
        <w:jc w:val="both"/>
      </w:pPr>
    </w:p>
    <w:p w:rsidR="000E0C11" w:rsidRDefault="006F5953" w:rsidP="006F5953">
      <w:pPr>
        <w:jc w:val="both"/>
      </w:pPr>
      <w:r w:rsidRPr="001143BB">
        <w:t>In the US</w:t>
      </w:r>
      <w:r w:rsidR="001D57D4">
        <w:t>,</w:t>
      </w:r>
      <w:r w:rsidRPr="001143BB">
        <w:t xml:space="preserve"> </w:t>
      </w:r>
      <w:r w:rsidR="002B3D4E">
        <w:t xml:space="preserve">in response to a generally  improving economic outlook, the Federal Reserve </w:t>
      </w:r>
      <w:r w:rsidR="00EB72FD">
        <w:t>ha</w:t>
      </w:r>
      <w:r w:rsidR="002B3D4E">
        <w:t>s</w:t>
      </w:r>
      <w:r w:rsidR="00EB72FD">
        <w:t xml:space="preserve"> begun the process </w:t>
      </w:r>
      <w:r w:rsidR="001D57D4">
        <w:t xml:space="preserve">of </w:t>
      </w:r>
      <w:r w:rsidRPr="001143BB">
        <w:t>slowing the pace of asset purchases</w:t>
      </w:r>
      <w:r w:rsidR="001D57D4">
        <w:t>,</w:t>
      </w:r>
      <w:r w:rsidRPr="001143BB">
        <w:t xml:space="preserve"> </w:t>
      </w:r>
      <w:r w:rsidR="002B3D4E">
        <w:t>and despite recent disappointing employment data, this process of modest 'tapering' is likely to</w:t>
      </w:r>
      <w:r w:rsidR="001D57D4">
        <w:t xml:space="preserve"> continue in the coming months with </w:t>
      </w:r>
      <w:r w:rsidR="006129AB">
        <w:t xml:space="preserve">some commentators suggesting </w:t>
      </w:r>
      <w:r w:rsidR="001D57D4">
        <w:t xml:space="preserve">quantitative easing </w:t>
      </w:r>
      <w:r w:rsidR="006129AB">
        <w:t xml:space="preserve">will be </w:t>
      </w:r>
      <w:r w:rsidR="001D57D4">
        <w:t xml:space="preserve">completed by year end. </w:t>
      </w:r>
      <w:r w:rsidR="006129AB">
        <w:t xml:space="preserve">To date the muted reaction of bond and equity markets suggests the expectation of tapering was </w:t>
      </w:r>
      <w:r w:rsidR="002D7F4A">
        <w:t>already factored in to asset prices.</w:t>
      </w:r>
    </w:p>
    <w:p w:rsidR="002D7F4A" w:rsidRPr="001143BB" w:rsidRDefault="002D7F4A" w:rsidP="006F5953">
      <w:pPr>
        <w:jc w:val="both"/>
      </w:pPr>
    </w:p>
    <w:p w:rsidR="000E0C11" w:rsidRPr="001143BB" w:rsidRDefault="006F5953" w:rsidP="006F5953">
      <w:pPr>
        <w:jc w:val="both"/>
        <w:rPr>
          <w:i/>
        </w:rPr>
      </w:pPr>
      <w:r w:rsidRPr="001143BB">
        <w:rPr>
          <w:i/>
        </w:rPr>
        <w:t>Credit outlook</w:t>
      </w:r>
    </w:p>
    <w:p w:rsidR="000E0C11" w:rsidRPr="001143BB" w:rsidRDefault="000E0C11" w:rsidP="006F5953">
      <w:pPr>
        <w:jc w:val="both"/>
      </w:pPr>
    </w:p>
    <w:p w:rsidR="006F5953" w:rsidRPr="001143BB" w:rsidRDefault="006F5953" w:rsidP="006F5953">
      <w:pPr>
        <w:jc w:val="both"/>
      </w:pPr>
      <w:r w:rsidRPr="001143BB">
        <w:t xml:space="preserve">The credit risk of banking failures has diminished, but not dissipated altogether.  Regulatory changes are </w:t>
      </w:r>
      <w:r w:rsidR="002D7F4A">
        <w:t xml:space="preserve">being considered </w:t>
      </w:r>
      <w:r w:rsidRPr="001143BB">
        <w:t xml:space="preserve">in the UK, US and Europe to move away </w:t>
      </w:r>
      <w:r w:rsidRPr="001143BB">
        <w:lastRenderedPageBreak/>
        <w:t>from the bank bail-outs of previous years to bank resolution regimes in which shareholders, bond holders and unsecured creditors are ‘bailed in’ to participate in any recovery process. This is already manifest in relation to holders of subordinated debt issued</w:t>
      </w:r>
      <w:r w:rsidR="000A2B50" w:rsidRPr="001143BB">
        <w:t xml:space="preserve"> by the Co-op wh</w:t>
      </w:r>
      <w:r w:rsidR="005741FA">
        <w:t>o</w:t>
      </w:r>
      <w:r w:rsidR="000A2B50" w:rsidRPr="001143BB">
        <w:t xml:space="preserve"> will </w:t>
      </w:r>
      <w:r w:rsidRPr="001143BB">
        <w:t xml:space="preserve">suffer a haircut on its conversion bail-in to alternative securities and/or equity There are also proposals for EU regulatory reforms to Money Market Funds which will, in all probability, result in these funds moving to a VNAV (variable net asset value) basis and </w:t>
      </w:r>
      <w:r w:rsidR="005741FA">
        <w:t xml:space="preserve">thus </w:t>
      </w:r>
      <w:r w:rsidRPr="001143BB">
        <w:t>losing their ‘tri</w:t>
      </w:r>
      <w:r w:rsidR="00B474FF">
        <w:t xml:space="preserve">ple-A’ credit rating wrapper. </w:t>
      </w:r>
      <w:r w:rsidRPr="001143BB">
        <w:t>Diversification of investments between creditworthy counterparties to mitigate bail</w:t>
      </w:r>
      <w:r w:rsidRPr="001143BB">
        <w:noBreakHyphen/>
        <w:t xml:space="preserve">in risk will become even more important in the light of these developments. </w:t>
      </w:r>
    </w:p>
    <w:p w:rsidR="00540D1B" w:rsidRPr="001143BB" w:rsidRDefault="00540D1B" w:rsidP="00025990">
      <w:pPr>
        <w:jc w:val="both"/>
        <w:rPr>
          <w:highlight w:val="yellow"/>
          <w:u w:val="single"/>
        </w:rPr>
      </w:pPr>
    </w:p>
    <w:p w:rsidR="000A1B41" w:rsidRPr="000F049F" w:rsidRDefault="00E140AD" w:rsidP="00025990">
      <w:pPr>
        <w:jc w:val="both"/>
        <w:rPr>
          <w:i/>
        </w:rPr>
      </w:pPr>
      <w:r w:rsidRPr="000F049F">
        <w:rPr>
          <w:i/>
        </w:rPr>
        <w:t xml:space="preserve">The </w:t>
      </w:r>
      <w:r w:rsidR="007C4EB1" w:rsidRPr="000F049F">
        <w:rPr>
          <w:i/>
        </w:rPr>
        <w:t xml:space="preserve">Current </w:t>
      </w:r>
      <w:r w:rsidRPr="000F049F">
        <w:rPr>
          <w:i/>
        </w:rPr>
        <w:t>Structure of the</w:t>
      </w:r>
      <w:r w:rsidR="007C4EB1" w:rsidRPr="000F049F">
        <w:rPr>
          <w:i/>
        </w:rPr>
        <w:t xml:space="preserve"> Portfolio</w:t>
      </w:r>
    </w:p>
    <w:p w:rsidR="000A1B41" w:rsidRPr="000F049F" w:rsidRDefault="000A1B41" w:rsidP="00025990">
      <w:pPr>
        <w:jc w:val="both"/>
      </w:pPr>
    </w:p>
    <w:p w:rsidR="000A1B41" w:rsidRPr="000F049F" w:rsidRDefault="000A1B41" w:rsidP="00025990">
      <w:pPr>
        <w:jc w:val="both"/>
      </w:pPr>
      <w:r w:rsidRPr="000F049F">
        <w:t xml:space="preserve">The Council’s treasury portfolio </w:t>
      </w:r>
      <w:r w:rsidR="00EC660C" w:rsidRPr="000F049F">
        <w:t xml:space="preserve">(net of transferred debt) </w:t>
      </w:r>
      <w:r w:rsidRPr="000F049F">
        <w:t>as at 31</w:t>
      </w:r>
      <w:r w:rsidRPr="000F049F">
        <w:rPr>
          <w:vertAlign w:val="superscript"/>
        </w:rPr>
        <w:t>st</w:t>
      </w:r>
      <w:r w:rsidRPr="000F049F">
        <w:t xml:space="preserve"> December 201</w:t>
      </w:r>
      <w:r w:rsidR="001143BB" w:rsidRPr="000F049F">
        <w:t>3</w:t>
      </w:r>
      <w:r w:rsidRPr="000F049F">
        <w:t xml:space="preserve"> was as follows.</w:t>
      </w:r>
    </w:p>
    <w:p w:rsidR="000A1B41" w:rsidRPr="001143BB" w:rsidRDefault="000A1B41" w:rsidP="00025990">
      <w:pPr>
        <w:jc w:val="both"/>
        <w:rPr>
          <w:highlight w:val="yellow"/>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536"/>
        <w:gridCol w:w="1807"/>
        <w:gridCol w:w="1755"/>
      </w:tblGrid>
      <w:tr w:rsidR="000A1B41" w:rsidRPr="001143BB" w:rsidTr="00AD419B">
        <w:tc>
          <w:tcPr>
            <w:tcW w:w="1500" w:type="dxa"/>
            <w:tcBorders>
              <w:right w:val="nil"/>
            </w:tcBorders>
            <w:shd w:val="clear" w:color="auto" w:fill="C0C0C0"/>
          </w:tcPr>
          <w:p w:rsidR="000A1B41" w:rsidRPr="001143BB" w:rsidRDefault="000A1B41" w:rsidP="00E140AD">
            <w:pPr>
              <w:jc w:val="both"/>
              <w:rPr>
                <w:highlight w:val="yellow"/>
              </w:rPr>
            </w:pPr>
          </w:p>
        </w:tc>
        <w:tc>
          <w:tcPr>
            <w:tcW w:w="2536" w:type="dxa"/>
            <w:tcBorders>
              <w:left w:val="nil"/>
            </w:tcBorders>
            <w:shd w:val="clear" w:color="auto" w:fill="C0C0C0"/>
          </w:tcPr>
          <w:p w:rsidR="000A1B41" w:rsidRPr="001143BB" w:rsidRDefault="000A1B41" w:rsidP="00E140AD">
            <w:pPr>
              <w:jc w:val="both"/>
              <w:rPr>
                <w:highlight w:val="yellow"/>
              </w:rPr>
            </w:pPr>
          </w:p>
        </w:tc>
        <w:tc>
          <w:tcPr>
            <w:tcW w:w="1807" w:type="dxa"/>
            <w:shd w:val="clear" w:color="auto" w:fill="C0C0C0"/>
          </w:tcPr>
          <w:p w:rsidR="002774AB" w:rsidRPr="000F049F" w:rsidRDefault="000A1B41" w:rsidP="00E140AD">
            <w:pPr>
              <w:jc w:val="center"/>
            </w:pPr>
            <w:r w:rsidRPr="000F049F">
              <w:t>Principal Amount</w:t>
            </w:r>
          </w:p>
          <w:p w:rsidR="000A1B41" w:rsidRPr="000F049F" w:rsidRDefault="000A1B41" w:rsidP="00E140AD">
            <w:pPr>
              <w:jc w:val="center"/>
            </w:pPr>
            <w:r w:rsidRPr="000F049F">
              <w:t xml:space="preserve"> £m</w:t>
            </w:r>
          </w:p>
        </w:tc>
        <w:tc>
          <w:tcPr>
            <w:tcW w:w="1755" w:type="dxa"/>
            <w:shd w:val="clear" w:color="auto" w:fill="C0C0C0"/>
          </w:tcPr>
          <w:p w:rsidR="000A1B41" w:rsidRPr="000F049F" w:rsidRDefault="000A1B41" w:rsidP="00E140AD">
            <w:pPr>
              <w:jc w:val="center"/>
            </w:pPr>
            <w:r w:rsidRPr="000F049F">
              <w:t>Current Interest Rate %</w:t>
            </w:r>
          </w:p>
        </w:tc>
      </w:tr>
      <w:tr w:rsidR="000A1B41" w:rsidRPr="001143BB" w:rsidTr="00AD419B">
        <w:tc>
          <w:tcPr>
            <w:tcW w:w="4036" w:type="dxa"/>
            <w:gridSpan w:val="2"/>
            <w:tcBorders>
              <w:bottom w:val="nil"/>
            </w:tcBorders>
          </w:tcPr>
          <w:p w:rsidR="000A1B41" w:rsidRPr="000F049F" w:rsidRDefault="000A1B41" w:rsidP="00E140AD">
            <w:r w:rsidRPr="000F049F">
              <w:t>Call accounts</w:t>
            </w:r>
          </w:p>
        </w:tc>
        <w:tc>
          <w:tcPr>
            <w:tcW w:w="1807" w:type="dxa"/>
            <w:tcBorders>
              <w:bottom w:val="nil"/>
            </w:tcBorders>
          </w:tcPr>
          <w:p w:rsidR="000A1B41" w:rsidRPr="000F049F" w:rsidRDefault="000F049F" w:rsidP="00AD0E87">
            <w:pPr>
              <w:jc w:val="right"/>
            </w:pPr>
            <w:r w:rsidRPr="000F049F">
              <w:t>18.892</w:t>
            </w:r>
          </w:p>
        </w:tc>
        <w:tc>
          <w:tcPr>
            <w:tcW w:w="1755" w:type="dxa"/>
            <w:tcBorders>
              <w:bottom w:val="nil"/>
            </w:tcBorders>
          </w:tcPr>
          <w:p w:rsidR="000A1B41" w:rsidRPr="000F049F" w:rsidRDefault="000F049F" w:rsidP="00AD0E87">
            <w:pPr>
              <w:jc w:val="right"/>
            </w:pPr>
            <w:r w:rsidRPr="000F049F">
              <w:t>0.518</w:t>
            </w:r>
          </w:p>
        </w:tc>
      </w:tr>
      <w:tr w:rsidR="00AD419B" w:rsidRPr="001143BB" w:rsidTr="007F1BEA">
        <w:tc>
          <w:tcPr>
            <w:tcW w:w="4036" w:type="dxa"/>
            <w:gridSpan w:val="2"/>
            <w:tcBorders>
              <w:top w:val="nil"/>
              <w:bottom w:val="nil"/>
            </w:tcBorders>
          </w:tcPr>
          <w:p w:rsidR="00AD419B" w:rsidRPr="000F049F" w:rsidRDefault="00AD419B" w:rsidP="00E140AD">
            <w:r w:rsidRPr="000F049F">
              <w:t>Short-term deposits</w:t>
            </w:r>
          </w:p>
        </w:tc>
        <w:tc>
          <w:tcPr>
            <w:tcW w:w="1807" w:type="dxa"/>
            <w:tcBorders>
              <w:top w:val="nil"/>
              <w:bottom w:val="nil"/>
            </w:tcBorders>
          </w:tcPr>
          <w:p w:rsidR="00AD419B" w:rsidRPr="000F049F" w:rsidRDefault="000F049F" w:rsidP="00392C2F">
            <w:pPr>
              <w:jc w:val="right"/>
            </w:pPr>
            <w:r w:rsidRPr="000F049F">
              <w:t>20.00</w:t>
            </w:r>
          </w:p>
        </w:tc>
        <w:tc>
          <w:tcPr>
            <w:tcW w:w="1755" w:type="dxa"/>
            <w:tcBorders>
              <w:top w:val="nil"/>
              <w:bottom w:val="nil"/>
            </w:tcBorders>
          </w:tcPr>
          <w:p w:rsidR="00AD419B" w:rsidRPr="000F049F" w:rsidRDefault="000F049F" w:rsidP="00AD0E87">
            <w:pPr>
              <w:jc w:val="right"/>
            </w:pPr>
            <w:r w:rsidRPr="000F049F">
              <w:t>2.620</w:t>
            </w:r>
          </w:p>
        </w:tc>
      </w:tr>
      <w:tr w:rsidR="00AD419B" w:rsidRPr="001143BB" w:rsidTr="007F1BEA">
        <w:tc>
          <w:tcPr>
            <w:tcW w:w="4036" w:type="dxa"/>
            <w:gridSpan w:val="2"/>
            <w:tcBorders>
              <w:top w:val="nil"/>
              <w:bottom w:val="nil"/>
            </w:tcBorders>
          </w:tcPr>
          <w:p w:rsidR="00AD419B" w:rsidRPr="000F049F" w:rsidRDefault="00AD419B" w:rsidP="00E140AD">
            <w:r w:rsidRPr="000F049F">
              <w:t>Long-term deposits</w:t>
            </w:r>
          </w:p>
        </w:tc>
        <w:tc>
          <w:tcPr>
            <w:tcW w:w="1807" w:type="dxa"/>
            <w:tcBorders>
              <w:top w:val="nil"/>
              <w:left w:val="nil"/>
              <w:bottom w:val="nil"/>
            </w:tcBorders>
          </w:tcPr>
          <w:p w:rsidR="00AD419B" w:rsidRPr="000F049F" w:rsidRDefault="000F049F" w:rsidP="00AD0E87">
            <w:pPr>
              <w:jc w:val="right"/>
            </w:pPr>
            <w:r w:rsidRPr="000F049F">
              <w:t>119.925</w:t>
            </w:r>
          </w:p>
        </w:tc>
        <w:tc>
          <w:tcPr>
            <w:tcW w:w="1755" w:type="dxa"/>
            <w:tcBorders>
              <w:top w:val="nil"/>
              <w:bottom w:val="nil"/>
            </w:tcBorders>
          </w:tcPr>
          <w:p w:rsidR="00AD419B" w:rsidRPr="000F049F" w:rsidRDefault="000F049F" w:rsidP="00AD0E87">
            <w:pPr>
              <w:jc w:val="right"/>
            </w:pPr>
            <w:r w:rsidRPr="000F049F">
              <w:t>2.312</w:t>
            </w:r>
          </w:p>
        </w:tc>
      </w:tr>
      <w:tr w:rsidR="00AD419B" w:rsidRPr="001143BB" w:rsidTr="007F1BEA">
        <w:tc>
          <w:tcPr>
            <w:tcW w:w="4036" w:type="dxa"/>
            <w:gridSpan w:val="2"/>
            <w:tcBorders>
              <w:top w:val="nil"/>
            </w:tcBorders>
          </w:tcPr>
          <w:p w:rsidR="00AD419B" w:rsidRPr="000F049F" w:rsidRDefault="00AD419B" w:rsidP="00E140AD">
            <w:r w:rsidRPr="000F049F">
              <w:t>Bond Portfolio</w:t>
            </w:r>
          </w:p>
        </w:tc>
        <w:tc>
          <w:tcPr>
            <w:tcW w:w="1807" w:type="dxa"/>
            <w:tcBorders>
              <w:top w:val="nil"/>
              <w:left w:val="nil"/>
            </w:tcBorders>
          </w:tcPr>
          <w:p w:rsidR="00AD419B" w:rsidRPr="000F049F" w:rsidRDefault="000F049F" w:rsidP="00AD0E87">
            <w:pPr>
              <w:jc w:val="right"/>
            </w:pPr>
            <w:r w:rsidRPr="000F049F">
              <w:t>423.515</w:t>
            </w:r>
          </w:p>
        </w:tc>
        <w:tc>
          <w:tcPr>
            <w:tcW w:w="1755" w:type="dxa"/>
            <w:tcBorders>
              <w:top w:val="nil"/>
            </w:tcBorders>
          </w:tcPr>
          <w:p w:rsidR="00AD419B" w:rsidRPr="000F049F" w:rsidRDefault="000F049F" w:rsidP="00AD0E87">
            <w:pPr>
              <w:jc w:val="right"/>
            </w:pPr>
            <w:r w:rsidRPr="000F049F">
              <w:t>2.956</w:t>
            </w:r>
          </w:p>
        </w:tc>
      </w:tr>
      <w:tr w:rsidR="00AD419B" w:rsidRPr="001143BB" w:rsidTr="007F1BEA">
        <w:tc>
          <w:tcPr>
            <w:tcW w:w="4036" w:type="dxa"/>
            <w:gridSpan w:val="2"/>
            <w:tcBorders>
              <w:bottom w:val="nil"/>
            </w:tcBorders>
          </w:tcPr>
          <w:p w:rsidR="00AD419B" w:rsidRPr="000F049F" w:rsidRDefault="00AD419B" w:rsidP="00E140AD">
            <w:r w:rsidRPr="000F049F">
              <w:rPr>
                <w:b/>
              </w:rPr>
              <w:t>Total Investments</w:t>
            </w:r>
          </w:p>
        </w:tc>
        <w:tc>
          <w:tcPr>
            <w:tcW w:w="1807" w:type="dxa"/>
            <w:tcBorders>
              <w:left w:val="nil"/>
              <w:bottom w:val="nil"/>
            </w:tcBorders>
          </w:tcPr>
          <w:p w:rsidR="00AD419B" w:rsidRPr="000F049F" w:rsidRDefault="000F049F" w:rsidP="00AD0E87">
            <w:pPr>
              <w:jc w:val="right"/>
            </w:pPr>
            <w:r w:rsidRPr="000F049F">
              <w:rPr>
                <w:b/>
                <w:bCs/>
              </w:rPr>
              <w:t>582.331</w:t>
            </w:r>
          </w:p>
        </w:tc>
        <w:tc>
          <w:tcPr>
            <w:tcW w:w="1755" w:type="dxa"/>
            <w:tcBorders>
              <w:bottom w:val="nil"/>
            </w:tcBorders>
          </w:tcPr>
          <w:p w:rsidR="00AD419B" w:rsidRPr="000F049F" w:rsidRDefault="000F049F" w:rsidP="00AD0E87">
            <w:pPr>
              <w:jc w:val="right"/>
            </w:pPr>
            <w:r w:rsidRPr="000F049F">
              <w:rPr>
                <w:b/>
              </w:rPr>
              <w:t>2.733</w:t>
            </w:r>
          </w:p>
        </w:tc>
      </w:tr>
      <w:tr w:rsidR="00AD419B" w:rsidRPr="001143BB" w:rsidTr="007F1BEA">
        <w:tc>
          <w:tcPr>
            <w:tcW w:w="4036" w:type="dxa"/>
            <w:gridSpan w:val="2"/>
            <w:tcBorders>
              <w:top w:val="nil"/>
              <w:bottom w:val="nil"/>
            </w:tcBorders>
          </w:tcPr>
          <w:p w:rsidR="00AD419B" w:rsidRPr="000F049F" w:rsidRDefault="00AD419B" w:rsidP="00E140AD">
            <w:pPr>
              <w:rPr>
                <w:b/>
              </w:rPr>
            </w:pPr>
          </w:p>
        </w:tc>
        <w:tc>
          <w:tcPr>
            <w:tcW w:w="1807" w:type="dxa"/>
            <w:tcBorders>
              <w:top w:val="nil"/>
              <w:bottom w:val="nil"/>
            </w:tcBorders>
          </w:tcPr>
          <w:p w:rsidR="00AD419B" w:rsidRPr="000F049F" w:rsidRDefault="00AD419B" w:rsidP="00AD0E87">
            <w:pPr>
              <w:jc w:val="right"/>
              <w:rPr>
                <w:b/>
              </w:rPr>
            </w:pPr>
          </w:p>
        </w:tc>
        <w:tc>
          <w:tcPr>
            <w:tcW w:w="1755" w:type="dxa"/>
            <w:tcBorders>
              <w:top w:val="nil"/>
              <w:bottom w:val="nil"/>
            </w:tcBorders>
          </w:tcPr>
          <w:p w:rsidR="00AD419B" w:rsidRPr="000F049F" w:rsidRDefault="00AD419B" w:rsidP="00AD0E87">
            <w:pPr>
              <w:jc w:val="right"/>
              <w:rPr>
                <w:b/>
              </w:rPr>
            </w:pPr>
          </w:p>
        </w:tc>
      </w:tr>
      <w:tr w:rsidR="00AD419B" w:rsidRPr="001143BB" w:rsidTr="007F1BEA">
        <w:tc>
          <w:tcPr>
            <w:tcW w:w="4036" w:type="dxa"/>
            <w:gridSpan w:val="2"/>
            <w:tcBorders>
              <w:top w:val="nil"/>
              <w:bottom w:val="nil"/>
            </w:tcBorders>
          </w:tcPr>
          <w:p w:rsidR="00AD419B" w:rsidRPr="000F049F" w:rsidRDefault="00AD419B" w:rsidP="00E140AD">
            <w:r w:rsidRPr="000F049F">
              <w:t>Short-term loans</w:t>
            </w:r>
          </w:p>
        </w:tc>
        <w:tc>
          <w:tcPr>
            <w:tcW w:w="1807" w:type="dxa"/>
            <w:tcBorders>
              <w:top w:val="nil"/>
              <w:bottom w:val="nil"/>
            </w:tcBorders>
          </w:tcPr>
          <w:p w:rsidR="00AD419B" w:rsidRPr="000F049F" w:rsidRDefault="000F049F" w:rsidP="00AD0E87">
            <w:pPr>
              <w:jc w:val="right"/>
            </w:pPr>
            <w:r w:rsidRPr="000F049F">
              <w:t>266.250</w:t>
            </w:r>
          </w:p>
        </w:tc>
        <w:tc>
          <w:tcPr>
            <w:tcW w:w="1755" w:type="dxa"/>
            <w:tcBorders>
              <w:top w:val="nil"/>
              <w:bottom w:val="nil"/>
            </w:tcBorders>
          </w:tcPr>
          <w:p w:rsidR="00AD419B" w:rsidRPr="000F049F" w:rsidRDefault="000F049F" w:rsidP="00AD0E87">
            <w:pPr>
              <w:jc w:val="right"/>
            </w:pPr>
            <w:r w:rsidRPr="000F049F">
              <w:t>0.603</w:t>
            </w:r>
          </w:p>
        </w:tc>
      </w:tr>
      <w:tr w:rsidR="00AD419B" w:rsidRPr="001143BB" w:rsidTr="007F1BEA">
        <w:tc>
          <w:tcPr>
            <w:tcW w:w="4036" w:type="dxa"/>
            <w:gridSpan w:val="2"/>
            <w:tcBorders>
              <w:top w:val="nil"/>
              <w:bottom w:val="nil"/>
            </w:tcBorders>
          </w:tcPr>
          <w:p w:rsidR="00AD419B" w:rsidRPr="000F049F" w:rsidRDefault="00AD419B" w:rsidP="00E140AD">
            <w:r w:rsidRPr="000F049F">
              <w:t>Long-term loans (Local Authorities)</w:t>
            </w:r>
          </w:p>
        </w:tc>
        <w:tc>
          <w:tcPr>
            <w:tcW w:w="1807" w:type="dxa"/>
            <w:tcBorders>
              <w:top w:val="nil"/>
              <w:bottom w:val="nil"/>
            </w:tcBorders>
          </w:tcPr>
          <w:p w:rsidR="00AD419B" w:rsidRPr="000F049F" w:rsidRDefault="000F049F" w:rsidP="00AD0E87">
            <w:pPr>
              <w:jc w:val="right"/>
            </w:pPr>
            <w:r w:rsidRPr="000F049F">
              <w:t>60.00</w:t>
            </w:r>
          </w:p>
        </w:tc>
        <w:tc>
          <w:tcPr>
            <w:tcW w:w="1755" w:type="dxa"/>
            <w:tcBorders>
              <w:top w:val="nil"/>
              <w:bottom w:val="nil"/>
            </w:tcBorders>
          </w:tcPr>
          <w:p w:rsidR="00AD419B" w:rsidRPr="000F049F" w:rsidRDefault="000F049F" w:rsidP="00477AA3">
            <w:pPr>
              <w:jc w:val="right"/>
            </w:pPr>
            <w:r w:rsidRPr="000F049F">
              <w:t>1.805</w:t>
            </w:r>
          </w:p>
        </w:tc>
      </w:tr>
      <w:tr w:rsidR="00AD419B" w:rsidRPr="001143BB" w:rsidTr="007F1BEA">
        <w:tc>
          <w:tcPr>
            <w:tcW w:w="4036" w:type="dxa"/>
            <w:gridSpan w:val="2"/>
            <w:tcBorders>
              <w:top w:val="nil"/>
              <w:bottom w:val="nil"/>
            </w:tcBorders>
          </w:tcPr>
          <w:p w:rsidR="00AD419B" w:rsidRPr="000F049F" w:rsidRDefault="00AD419B" w:rsidP="00477AA3">
            <w:r w:rsidRPr="000F049F">
              <w:t>Shared Investment Scheme</w:t>
            </w:r>
          </w:p>
        </w:tc>
        <w:tc>
          <w:tcPr>
            <w:tcW w:w="1807" w:type="dxa"/>
            <w:tcBorders>
              <w:top w:val="nil"/>
              <w:bottom w:val="nil"/>
            </w:tcBorders>
          </w:tcPr>
          <w:p w:rsidR="00AD419B" w:rsidRPr="000F049F" w:rsidRDefault="000F049F" w:rsidP="00AD0E87">
            <w:pPr>
              <w:jc w:val="right"/>
            </w:pPr>
            <w:r w:rsidRPr="000F049F">
              <w:t>84.591</w:t>
            </w:r>
          </w:p>
        </w:tc>
        <w:tc>
          <w:tcPr>
            <w:tcW w:w="1755" w:type="dxa"/>
            <w:tcBorders>
              <w:top w:val="nil"/>
              <w:bottom w:val="nil"/>
            </w:tcBorders>
          </w:tcPr>
          <w:p w:rsidR="00AD419B" w:rsidRPr="000F049F" w:rsidRDefault="000F049F" w:rsidP="00AD0E87">
            <w:pPr>
              <w:jc w:val="right"/>
            </w:pPr>
            <w:r w:rsidRPr="000F049F">
              <w:t>0.645</w:t>
            </w:r>
          </w:p>
        </w:tc>
      </w:tr>
      <w:tr w:rsidR="00AD419B" w:rsidRPr="001143BB" w:rsidTr="007F1BEA">
        <w:tc>
          <w:tcPr>
            <w:tcW w:w="4036" w:type="dxa"/>
            <w:gridSpan w:val="2"/>
            <w:tcBorders>
              <w:top w:val="nil"/>
              <w:bottom w:val="nil"/>
            </w:tcBorders>
          </w:tcPr>
          <w:p w:rsidR="00AD419B" w:rsidRPr="000F049F" w:rsidRDefault="00AD419B" w:rsidP="00E140AD">
            <w:r w:rsidRPr="000F049F">
              <w:t>Long-term PWLB loans</w:t>
            </w:r>
          </w:p>
        </w:tc>
        <w:tc>
          <w:tcPr>
            <w:tcW w:w="1807" w:type="dxa"/>
            <w:tcBorders>
              <w:top w:val="nil"/>
              <w:bottom w:val="nil"/>
            </w:tcBorders>
          </w:tcPr>
          <w:p w:rsidR="00AD419B" w:rsidRPr="000F049F" w:rsidRDefault="000F049F" w:rsidP="00AD0E87">
            <w:pPr>
              <w:jc w:val="right"/>
            </w:pPr>
            <w:r w:rsidRPr="000F049F">
              <w:t>338.850</w:t>
            </w:r>
          </w:p>
        </w:tc>
        <w:tc>
          <w:tcPr>
            <w:tcW w:w="1755" w:type="dxa"/>
            <w:tcBorders>
              <w:top w:val="nil"/>
              <w:bottom w:val="nil"/>
            </w:tcBorders>
          </w:tcPr>
          <w:p w:rsidR="00AD419B" w:rsidRPr="000F049F" w:rsidRDefault="000F049F" w:rsidP="00AD0E87">
            <w:pPr>
              <w:jc w:val="right"/>
            </w:pPr>
            <w:r w:rsidRPr="000F049F">
              <w:t>3.017</w:t>
            </w:r>
          </w:p>
        </w:tc>
      </w:tr>
      <w:tr w:rsidR="00AD419B" w:rsidRPr="001143BB" w:rsidTr="007F1BEA">
        <w:tc>
          <w:tcPr>
            <w:tcW w:w="4036" w:type="dxa"/>
            <w:gridSpan w:val="2"/>
            <w:tcBorders>
              <w:top w:val="nil"/>
            </w:tcBorders>
          </w:tcPr>
          <w:p w:rsidR="00AD419B" w:rsidRPr="000F049F" w:rsidRDefault="00AD419B" w:rsidP="00E140AD">
            <w:r w:rsidRPr="000F049F">
              <w:t>Long-term market loans (LOBOs)</w:t>
            </w:r>
          </w:p>
        </w:tc>
        <w:tc>
          <w:tcPr>
            <w:tcW w:w="1807" w:type="dxa"/>
            <w:tcBorders>
              <w:top w:val="nil"/>
            </w:tcBorders>
          </w:tcPr>
          <w:p w:rsidR="00AD419B" w:rsidRPr="000F049F" w:rsidRDefault="000F049F" w:rsidP="00AD0E87">
            <w:pPr>
              <w:jc w:val="right"/>
            </w:pPr>
            <w:r w:rsidRPr="000F049F">
              <w:t>51.911</w:t>
            </w:r>
          </w:p>
        </w:tc>
        <w:tc>
          <w:tcPr>
            <w:tcW w:w="1755" w:type="dxa"/>
            <w:tcBorders>
              <w:top w:val="nil"/>
            </w:tcBorders>
          </w:tcPr>
          <w:p w:rsidR="00AD419B" w:rsidRPr="000F049F" w:rsidRDefault="000F049F" w:rsidP="00AD0E87">
            <w:pPr>
              <w:jc w:val="right"/>
            </w:pPr>
            <w:r w:rsidRPr="000F049F">
              <w:t>5.389</w:t>
            </w:r>
          </w:p>
        </w:tc>
      </w:tr>
      <w:tr w:rsidR="00AD419B" w:rsidRPr="001143BB" w:rsidTr="007F1BEA">
        <w:tc>
          <w:tcPr>
            <w:tcW w:w="4036" w:type="dxa"/>
            <w:gridSpan w:val="2"/>
            <w:tcBorders>
              <w:bottom w:val="nil"/>
            </w:tcBorders>
          </w:tcPr>
          <w:p w:rsidR="00AD419B" w:rsidRPr="000F049F" w:rsidRDefault="00AD419B" w:rsidP="00E140AD">
            <w:r w:rsidRPr="000F049F">
              <w:rPr>
                <w:b/>
              </w:rPr>
              <w:t>Total Borrowing</w:t>
            </w:r>
          </w:p>
        </w:tc>
        <w:tc>
          <w:tcPr>
            <w:tcW w:w="1807" w:type="dxa"/>
            <w:tcBorders>
              <w:bottom w:val="nil"/>
            </w:tcBorders>
          </w:tcPr>
          <w:p w:rsidR="00AD419B" w:rsidRPr="000F049F" w:rsidRDefault="000F049F" w:rsidP="00AD0E87">
            <w:pPr>
              <w:jc w:val="right"/>
            </w:pPr>
            <w:r w:rsidRPr="000F049F">
              <w:rPr>
                <w:b/>
                <w:bCs/>
              </w:rPr>
              <w:t>801.602</w:t>
            </w:r>
          </w:p>
        </w:tc>
        <w:tc>
          <w:tcPr>
            <w:tcW w:w="1755" w:type="dxa"/>
            <w:tcBorders>
              <w:bottom w:val="nil"/>
            </w:tcBorders>
          </w:tcPr>
          <w:p w:rsidR="00AD419B" w:rsidRPr="000F049F" w:rsidRDefault="000F049F" w:rsidP="00AD0E87">
            <w:pPr>
              <w:jc w:val="right"/>
            </w:pPr>
            <w:r w:rsidRPr="000F049F">
              <w:rPr>
                <w:b/>
              </w:rPr>
              <w:t>2.028</w:t>
            </w:r>
          </w:p>
        </w:tc>
      </w:tr>
      <w:tr w:rsidR="00AD419B" w:rsidRPr="001143BB" w:rsidTr="007F1BEA">
        <w:tc>
          <w:tcPr>
            <w:tcW w:w="4036" w:type="dxa"/>
            <w:gridSpan w:val="2"/>
            <w:tcBorders>
              <w:top w:val="nil"/>
              <w:bottom w:val="nil"/>
            </w:tcBorders>
          </w:tcPr>
          <w:p w:rsidR="00AD419B" w:rsidRPr="000F049F" w:rsidRDefault="00AD419B" w:rsidP="00E140AD">
            <w:pPr>
              <w:rPr>
                <w:b/>
              </w:rPr>
            </w:pPr>
          </w:p>
        </w:tc>
        <w:tc>
          <w:tcPr>
            <w:tcW w:w="1807" w:type="dxa"/>
            <w:tcBorders>
              <w:top w:val="nil"/>
              <w:bottom w:val="nil"/>
            </w:tcBorders>
          </w:tcPr>
          <w:p w:rsidR="00AD419B" w:rsidRPr="000F049F" w:rsidRDefault="00AD419B" w:rsidP="00AD0E87">
            <w:pPr>
              <w:jc w:val="right"/>
              <w:rPr>
                <w:b/>
              </w:rPr>
            </w:pPr>
          </w:p>
        </w:tc>
        <w:tc>
          <w:tcPr>
            <w:tcW w:w="1755" w:type="dxa"/>
            <w:tcBorders>
              <w:top w:val="nil"/>
              <w:bottom w:val="nil"/>
            </w:tcBorders>
          </w:tcPr>
          <w:p w:rsidR="00AD419B" w:rsidRPr="000F049F" w:rsidRDefault="00AD419B" w:rsidP="00AD0E87">
            <w:pPr>
              <w:jc w:val="right"/>
              <w:rPr>
                <w:b/>
              </w:rPr>
            </w:pPr>
          </w:p>
        </w:tc>
      </w:tr>
      <w:tr w:rsidR="00AD419B" w:rsidRPr="001143BB" w:rsidTr="007F1BEA">
        <w:tc>
          <w:tcPr>
            <w:tcW w:w="4036" w:type="dxa"/>
            <w:gridSpan w:val="2"/>
            <w:tcBorders>
              <w:top w:val="nil"/>
            </w:tcBorders>
          </w:tcPr>
          <w:p w:rsidR="00AD419B" w:rsidRPr="000F049F" w:rsidRDefault="00AD419B" w:rsidP="00E140AD">
            <w:pPr>
              <w:rPr>
                <w:b/>
              </w:rPr>
            </w:pPr>
            <w:r w:rsidRPr="000F049F">
              <w:rPr>
                <w:b/>
              </w:rPr>
              <w:t xml:space="preserve">Net Borrowing </w:t>
            </w:r>
          </w:p>
        </w:tc>
        <w:tc>
          <w:tcPr>
            <w:tcW w:w="1807" w:type="dxa"/>
            <w:tcBorders>
              <w:top w:val="nil"/>
            </w:tcBorders>
          </w:tcPr>
          <w:p w:rsidR="00AD419B" w:rsidRPr="000F049F" w:rsidRDefault="000F049F" w:rsidP="00AD0E87">
            <w:pPr>
              <w:jc w:val="right"/>
              <w:rPr>
                <w:b/>
                <w:bCs/>
              </w:rPr>
            </w:pPr>
            <w:r w:rsidRPr="000F049F">
              <w:rPr>
                <w:b/>
                <w:bCs/>
              </w:rPr>
              <w:t>219.270</w:t>
            </w:r>
          </w:p>
        </w:tc>
        <w:tc>
          <w:tcPr>
            <w:tcW w:w="1755" w:type="dxa"/>
            <w:tcBorders>
              <w:top w:val="nil"/>
            </w:tcBorders>
          </w:tcPr>
          <w:p w:rsidR="00AD419B" w:rsidRPr="000F049F" w:rsidRDefault="00AD419B" w:rsidP="00AD0E87">
            <w:pPr>
              <w:jc w:val="right"/>
              <w:rPr>
                <w:b/>
              </w:rPr>
            </w:pPr>
          </w:p>
        </w:tc>
      </w:tr>
    </w:tbl>
    <w:p w:rsidR="000A1B41" w:rsidRPr="001143BB" w:rsidRDefault="000A1B41" w:rsidP="000A1B41">
      <w:pPr>
        <w:jc w:val="both"/>
        <w:rPr>
          <w:highlight w:val="yellow"/>
        </w:rPr>
      </w:pPr>
    </w:p>
    <w:p w:rsidR="00EC660C" w:rsidRPr="001143BB" w:rsidRDefault="00EC660C" w:rsidP="000A1B41">
      <w:pPr>
        <w:jc w:val="both"/>
        <w:rPr>
          <w:highlight w:val="yellow"/>
        </w:rPr>
      </w:pPr>
    </w:p>
    <w:p w:rsidR="000A1B41" w:rsidRPr="00E15A53" w:rsidRDefault="000A1B41" w:rsidP="000A1B41">
      <w:pPr>
        <w:jc w:val="both"/>
      </w:pPr>
      <w:r w:rsidRPr="00E15A53">
        <w:t xml:space="preserve">The shared investment scheme relates to funds </w:t>
      </w:r>
      <w:r w:rsidR="00AE3AF3" w:rsidRPr="00E15A53">
        <w:t>pooled</w:t>
      </w:r>
      <w:r w:rsidRPr="00E15A53">
        <w:t xml:space="preserve"> with the County Council</w:t>
      </w:r>
      <w:r w:rsidR="00AE3AF3" w:rsidRPr="00E15A53">
        <w:t>'s investments</w:t>
      </w:r>
      <w:r w:rsidRPr="00E15A53">
        <w:t xml:space="preserve"> by</w:t>
      </w:r>
      <w:r w:rsidR="005741FA">
        <w:t xml:space="preserve"> </w:t>
      </w:r>
      <w:r w:rsidR="00B474FF">
        <w:t xml:space="preserve">the </w:t>
      </w:r>
      <w:r w:rsidR="005741FA">
        <w:t>Police and Crime Commissioner for Lancashire</w:t>
      </w:r>
      <w:r w:rsidRPr="00E15A53">
        <w:t xml:space="preserve">, </w:t>
      </w:r>
      <w:r w:rsidR="005741FA">
        <w:t xml:space="preserve">Lancashire </w:t>
      </w:r>
      <w:r w:rsidRPr="00E15A53">
        <w:t xml:space="preserve">Combined Fire Authority and Lancashire District Councils. The </w:t>
      </w:r>
      <w:r w:rsidR="00B47AF1" w:rsidRPr="00E15A53">
        <w:t xml:space="preserve">objective </w:t>
      </w:r>
      <w:r w:rsidRPr="00E15A53">
        <w:t>of the scheme is to reduce the counterparty credit risk for those organisations by using the County Council as their investment counterparty. Although the sums invested are accounted for as borrowing by the County Council they are not included within capital financing calculations and will show as borrowing over and above the capital financing requirement.</w:t>
      </w:r>
      <w:r w:rsidR="00DD5B79" w:rsidRPr="00E15A53">
        <w:t xml:space="preserve"> They will however be included within the authorised borrowing limit.</w:t>
      </w:r>
    </w:p>
    <w:p w:rsidR="00EC660C" w:rsidRPr="001143BB" w:rsidRDefault="00EC660C" w:rsidP="000A1B41">
      <w:pPr>
        <w:jc w:val="both"/>
        <w:rPr>
          <w:highlight w:val="yellow"/>
        </w:rPr>
      </w:pPr>
    </w:p>
    <w:p w:rsidR="00AD0E87" w:rsidRPr="00E15A53" w:rsidRDefault="003700CA" w:rsidP="0040630B">
      <w:pPr>
        <w:jc w:val="both"/>
      </w:pPr>
      <w:r w:rsidRPr="00E15A53">
        <w:t xml:space="preserve">This scheme has proved more popular than anticipated, such that in order to avoid exceeding the </w:t>
      </w:r>
      <w:r w:rsidR="00BD6370" w:rsidRPr="00E15A53">
        <w:t xml:space="preserve">borrowing limits set under the prudential code the County Council had to </w:t>
      </w:r>
      <w:r w:rsidR="0011617A" w:rsidRPr="00E15A53">
        <w:t>close</w:t>
      </w:r>
      <w:r w:rsidR="00BD6370" w:rsidRPr="00E15A53">
        <w:t xml:space="preserve"> this facility </w:t>
      </w:r>
      <w:r w:rsidR="0011617A" w:rsidRPr="00E15A53">
        <w:t>to</w:t>
      </w:r>
      <w:r w:rsidR="00BD6370" w:rsidRPr="00E15A53">
        <w:t xml:space="preserve"> the Lancashire District Councils</w:t>
      </w:r>
      <w:r w:rsidR="0011617A" w:rsidRPr="00E15A53">
        <w:t xml:space="preserve"> in summer 2012</w:t>
      </w:r>
      <w:r w:rsidR="00BD6370" w:rsidRPr="00E15A53">
        <w:t>. Since the</w:t>
      </w:r>
      <w:r w:rsidR="00E15A53" w:rsidRPr="00E15A53">
        <w:t xml:space="preserve"> </w:t>
      </w:r>
      <w:r w:rsidR="00BD6370" w:rsidRPr="00E15A53">
        <w:t xml:space="preserve">external credit environment </w:t>
      </w:r>
      <w:r w:rsidR="00E15A53" w:rsidRPr="00E15A53">
        <w:t xml:space="preserve">is still far from stable, </w:t>
      </w:r>
      <w:r w:rsidR="00BD6370" w:rsidRPr="00E15A53">
        <w:t xml:space="preserve">this </w:t>
      </w:r>
      <w:r w:rsidR="0011617A" w:rsidRPr="00E15A53">
        <w:t>strategy</w:t>
      </w:r>
      <w:r w:rsidR="00E15A53" w:rsidRPr="00E15A53">
        <w:t xml:space="preserve"> will </w:t>
      </w:r>
      <w:r w:rsidR="00BD6370" w:rsidRPr="00E15A53">
        <w:t>include in the calculation of the operational an</w:t>
      </w:r>
      <w:r w:rsidR="000E0C11" w:rsidRPr="00E15A53">
        <w:t>d authorised limits for the 2014/15</w:t>
      </w:r>
      <w:r w:rsidR="00BD6370" w:rsidRPr="00E15A53">
        <w:t xml:space="preserve"> financial year, additional headroom to enable the full operation of the scheme from the date the </w:t>
      </w:r>
      <w:r w:rsidR="0011617A" w:rsidRPr="00E15A53">
        <w:t>strategy</w:t>
      </w:r>
      <w:r w:rsidR="00BD6370" w:rsidRPr="00E15A53">
        <w:t xml:space="preserve"> becomes effective.  </w:t>
      </w:r>
    </w:p>
    <w:p w:rsidR="000E0C11" w:rsidRPr="001143BB" w:rsidRDefault="000E0C11" w:rsidP="0040630B">
      <w:pPr>
        <w:jc w:val="both"/>
        <w:rPr>
          <w:highlight w:val="yellow"/>
        </w:rPr>
      </w:pPr>
    </w:p>
    <w:p w:rsidR="0040630B" w:rsidRPr="00E15A53" w:rsidRDefault="004A19C1" w:rsidP="0040630B">
      <w:pPr>
        <w:jc w:val="both"/>
        <w:rPr>
          <w:i/>
        </w:rPr>
      </w:pPr>
      <w:r w:rsidRPr="00E15A53">
        <w:rPr>
          <w:i/>
        </w:rPr>
        <w:t>Prospects for Interest Rates and Market Liquidity</w:t>
      </w:r>
    </w:p>
    <w:p w:rsidR="0040630B" w:rsidRPr="00E15A53" w:rsidRDefault="0040630B" w:rsidP="0040630B">
      <w:pPr>
        <w:jc w:val="both"/>
      </w:pPr>
    </w:p>
    <w:p w:rsidR="006F5953" w:rsidRPr="00E15A53" w:rsidRDefault="000A7B0E" w:rsidP="006F5953">
      <w:pPr>
        <w:pStyle w:val="ListParagraph"/>
        <w:ind w:left="0"/>
        <w:jc w:val="both"/>
        <w:rPr>
          <w:b/>
        </w:rPr>
      </w:pPr>
      <w:r w:rsidRPr="00E15A53">
        <w:t xml:space="preserve">In planning the treasury management strategy, the Council will consider the prevailing and forecast interest rate situation. Regular forecasts of interest rates are provided by Arlingclose Ltd, treasury management advisers to the County Council. </w:t>
      </w:r>
    </w:p>
    <w:p w:rsidR="006F5953" w:rsidRPr="00E15A53" w:rsidRDefault="006F5953" w:rsidP="006F5953">
      <w:pPr>
        <w:pStyle w:val="ListParagraph"/>
        <w:ind w:left="0"/>
        <w:jc w:val="both"/>
        <w:rPr>
          <w:b/>
        </w:rPr>
      </w:pPr>
    </w:p>
    <w:p w:rsidR="00B27B53" w:rsidRDefault="006F5953">
      <w:pPr>
        <w:spacing w:after="200" w:line="276" w:lineRule="auto"/>
        <w:jc w:val="both"/>
        <w:rPr>
          <w:szCs w:val="20"/>
        </w:rPr>
      </w:pPr>
      <w:r w:rsidRPr="00E15A53">
        <w:t>Arlingclose’s forecast is</w:t>
      </w:r>
      <w:r w:rsidR="000A2B50" w:rsidRPr="00E15A53">
        <w:rPr>
          <w:bCs/>
          <w:szCs w:val="20"/>
        </w:rPr>
        <w:t xml:space="preserve"> for short term interest rates </w:t>
      </w:r>
      <w:r w:rsidR="005741FA">
        <w:rPr>
          <w:bCs/>
          <w:szCs w:val="20"/>
        </w:rPr>
        <w:t xml:space="preserve">to </w:t>
      </w:r>
      <w:r w:rsidR="000A2B50" w:rsidRPr="00E15A53">
        <w:rPr>
          <w:bCs/>
          <w:szCs w:val="20"/>
        </w:rPr>
        <w:t xml:space="preserve">remain flat. Markets are still pricing in an earlier rise in rates than warranted under Forward Guidance and the broader economic backdrop. The MPC will not raise rates until there is a sustained period of strong growth.  However, upside risks </w:t>
      </w:r>
      <w:r w:rsidR="00E15A53" w:rsidRPr="00E15A53">
        <w:rPr>
          <w:bCs/>
          <w:szCs w:val="20"/>
        </w:rPr>
        <w:t xml:space="preserve">do </w:t>
      </w:r>
      <w:r w:rsidR="000A2B50" w:rsidRPr="00E15A53">
        <w:rPr>
          <w:bCs/>
          <w:szCs w:val="20"/>
        </w:rPr>
        <w:t xml:space="preserve">weigh more heavily </w:t>
      </w:r>
      <w:r w:rsidR="00E15A53" w:rsidRPr="00E15A53">
        <w:rPr>
          <w:bCs/>
          <w:szCs w:val="20"/>
        </w:rPr>
        <w:t>towards</w:t>
      </w:r>
      <w:r w:rsidR="000A2B50" w:rsidRPr="00E15A53">
        <w:rPr>
          <w:bCs/>
          <w:szCs w:val="20"/>
        </w:rPr>
        <w:t xml:space="preserve"> the end of </w:t>
      </w:r>
      <w:r w:rsidR="00E15A53" w:rsidRPr="00E15A53">
        <w:rPr>
          <w:bCs/>
          <w:szCs w:val="20"/>
        </w:rPr>
        <w:t xml:space="preserve">the </w:t>
      </w:r>
      <w:r w:rsidR="000A2B50" w:rsidRPr="00E15A53">
        <w:rPr>
          <w:bCs/>
          <w:szCs w:val="20"/>
        </w:rPr>
        <w:t xml:space="preserve">forecast horizon. </w:t>
      </w:r>
    </w:p>
    <w:p w:rsidR="00B27B53" w:rsidRDefault="00E15A53">
      <w:pPr>
        <w:spacing w:after="200" w:line="276" w:lineRule="auto"/>
        <w:jc w:val="both"/>
        <w:rPr>
          <w:szCs w:val="22"/>
        </w:rPr>
      </w:pPr>
      <w:r w:rsidRPr="00E15A53">
        <w:rPr>
          <w:bCs/>
          <w:szCs w:val="20"/>
        </w:rPr>
        <w:t>Arlingclose</w:t>
      </w:r>
      <w:r w:rsidR="000A2B50" w:rsidRPr="00E15A53">
        <w:rPr>
          <w:bCs/>
          <w:szCs w:val="20"/>
        </w:rPr>
        <w:t xml:space="preserve"> continue to project gilt yields on an upward path through the medium term. The</w:t>
      </w:r>
      <w:r w:rsidRPr="00E15A53">
        <w:rPr>
          <w:bCs/>
          <w:szCs w:val="20"/>
        </w:rPr>
        <w:t xml:space="preserve">ir view is that </w:t>
      </w:r>
      <w:r w:rsidR="005741FA">
        <w:rPr>
          <w:bCs/>
          <w:szCs w:val="20"/>
        </w:rPr>
        <w:t xml:space="preserve">the </w:t>
      </w:r>
      <w:r w:rsidRPr="00E15A53">
        <w:rPr>
          <w:bCs/>
          <w:szCs w:val="20"/>
        </w:rPr>
        <w:t xml:space="preserve">rise </w:t>
      </w:r>
      <w:r w:rsidR="000A2B50" w:rsidRPr="00E15A53">
        <w:rPr>
          <w:bCs/>
          <w:szCs w:val="20"/>
        </w:rPr>
        <w:t>in yields</w:t>
      </w:r>
      <w:r w:rsidRPr="00E15A53">
        <w:rPr>
          <w:bCs/>
          <w:szCs w:val="20"/>
        </w:rPr>
        <w:t xml:space="preserve"> since the </w:t>
      </w:r>
      <w:proofErr w:type="gramStart"/>
      <w:r w:rsidRPr="00E15A53">
        <w:rPr>
          <w:bCs/>
          <w:szCs w:val="20"/>
        </w:rPr>
        <w:t>Spring</w:t>
      </w:r>
      <w:proofErr w:type="gramEnd"/>
      <w:r w:rsidRPr="00E15A53">
        <w:rPr>
          <w:bCs/>
          <w:szCs w:val="20"/>
        </w:rPr>
        <w:t xml:space="preserve"> of 2013</w:t>
      </w:r>
      <w:r w:rsidR="000A2B50" w:rsidRPr="00E15A53">
        <w:rPr>
          <w:bCs/>
          <w:szCs w:val="20"/>
        </w:rPr>
        <w:t xml:space="preserve"> was overdone given the </w:t>
      </w:r>
      <w:r w:rsidRPr="00E15A53">
        <w:rPr>
          <w:bCs/>
          <w:szCs w:val="20"/>
        </w:rPr>
        <w:t>still uncertain</w:t>
      </w:r>
      <w:r w:rsidR="000A2B50" w:rsidRPr="00E15A53">
        <w:rPr>
          <w:bCs/>
          <w:szCs w:val="20"/>
        </w:rPr>
        <w:t xml:space="preserve"> fundamental global outlook and risks surrounding the Eurozone, China and US.</w:t>
      </w:r>
      <w:r w:rsidR="000A2B50" w:rsidRPr="00E15A53">
        <w:rPr>
          <w:szCs w:val="20"/>
        </w:rPr>
        <w:t xml:space="preserve"> </w:t>
      </w:r>
    </w:p>
    <w:p w:rsidR="002D7F4A" w:rsidRDefault="002D7F4A" w:rsidP="002D7F4A">
      <w:pPr>
        <w:pStyle w:val="BodyText"/>
        <w:jc w:val="both"/>
      </w:pPr>
      <w:r w:rsidRPr="00D546AC">
        <w:t xml:space="preserve">The latest forecast </w:t>
      </w:r>
      <w:r w:rsidRPr="00C51809">
        <w:t xml:space="preserve">provided by </w:t>
      </w:r>
      <w:r>
        <w:t>Arlingclose Ltd</w:t>
      </w:r>
      <w:r w:rsidRPr="00D546AC">
        <w:t xml:space="preserve"> is shown in the table below:</w:t>
      </w:r>
    </w:p>
    <w:p w:rsidR="002D7F4A" w:rsidRPr="0007216A" w:rsidRDefault="002D7F4A" w:rsidP="002D7F4A">
      <w:pPr>
        <w:pStyle w:val="BodyTex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13"/>
        <w:gridCol w:w="1114"/>
        <w:gridCol w:w="1114"/>
        <w:gridCol w:w="1113"/>
        <w:gridCol w:w="1114"/>
        <w:gridCol w:w="1114"/>
        <w:gridCol w:w="1114"/>
      </w:tblGrid>
      <w:tr w:rsidR="002D7F4A" w:rsidRPr="00BB4C19" w:rsidTr="002D7F4A">
        <w:tc>
          <w:tcPr>
            <w:tcW w:w="1384" w:type="dxa"/>
            <w:tcBorders>
              <w:right w:val="nil"/>
            </w:tcBorders>
          </w:tcPr>
          <w:p w:rsidR="002D7F4A" w:rsidRPr="00284EC1" w:rsidRDefault="002D7F4A" w:rsidP="002D7F4A">
            <w:pPr>
              <w:pStyle w:val="BodyText"/>
              <w:rPr>
                <w:sz w:val="20"/>
              </w:rPr>
            </w:pPr>
            <w:r w:rsidRPr="00284EC1">
              <w:rPr>
                <w:color w:val="000000"/>
                <w:sz w:val="20"/>
              </w:rPr>
              <w:t> </w:t>
            </w:r>
          </w:p>
        </w:tc>
        <w:tc>
          <w:tcPr>
            <w:tcW w:w="1113" w:type="dxa"/>
            <w:tcBorders>
              <w:left w:val="nil"/>
              <w:right w:val="nil"/>
            </w:tcBorders>
          </w:tcPr>
          <w:p w:rsidR="002D7F4A" w:rsidRPr="00C22471" w:rsidRDefault="002D7F4A" w:rsidP="002D7F4A">
            <w:pPr>
              <w:pStyle w:val="BodyText"/>
              <w:jc w:val="center"/>
              <w:rPr>
                <w:sz w:val="20"/>
              </w:rPr>
            </w:pPr>
            <w:r w:rsidRPr="00C22471">
              <w:rPr>
                <w:b/>
                <w:bCs/>
                <w:color w:val="000000"/>
                <w:sz w:val="20"/>
              </w:rPr>
              <w:t>Bank Rate</w:t>
            </w:r>
          </w:p>
        </w:tc>
        <w:tc>
          <w:tcPr>
            <w:tcW w:w="1114" w:type="dxa"/>
            <w:tcBorders>
              <w:left w:val="nil"/>
              <w:right w:val="nil"/>
            </w:tcBorders>
          </w:tcPr>
          <w:p w:rsidR="002D7F4A" w:rsidRPr="00C22471" w:rsidRDefault="002D7F4A" w:rsidP="002D7F4A">
            <w:pPr>
              <w:pStyle w:val="BodyText"/>
              <w:jc w:val="center"/>
              <w:rPr>
                <w:sz w:val="20"/>
              </w:rPr>
            </w:pPr>
            <w:r w:rsidRPr="00C22471">
              <w:rPr>
                <w:b/>
                <w:bCs/>
                <w:color w:val="000000"/>
                <w:sz w:val="20"/>
              </w:rPr>
              <w:t>3 Month LIBID</w:t>
            </w:r>
          </w:p>
        </w:tc>
        <w:tc>
          <w:tcPr>
            <w:tcW w:w="1114" w:type="dxa"/>
            <w:tcBorders>
              <w:left w:val="nil"/>
              <w:right w:val="nil"/>
            </w:tcBorders>
          </w:tcPr>
          <w:p w:rsidR="002D7F4A" w:rsidRPr="00C22471" w:rsidRDefault="002D7F4A" w:rsidP="002D7F4A">
            <w:pPr>
              <w:pStyle w:val="BodyText"/>
              <w:jc w:val="center"/>
              <w:rPr>
                <w:b/>
                <w:bCs/>
                <w:color w:val="000000"/>
                <w:sz w:val="20"/>
              </w:rPr>
            </w:pPr>
            <w:r w:rsidRPr="00C22471">
              <w:rPr>
                <w:b/>
                <w:bCs/>
                <w:color w:val="000000"/>
                <w:sz w:val="20"/>
              </w:rPr>
              <w:t>12 Month</w:t>
            </w:r>
          </w:p>
          <w:p w:rsidR="002D7F4A" w:rsidRPr="00C22471" w:rsidRDefault="002D7F4A" w:rsidP="002D7F4A">
            <w:pPr>
              <w:pStyle w:val="BodyText"/>
              <w:jc w:val="center"/>
              <w:rPr>
                <w:sz w:val="20"/>
              </w:rPr>
            </w:pPr>
            <w:r w:rsidRPr="00C22471">
              <w:rPr>
                <w:b/>
                <w:bCs/>
                <w:color w:val="000000"/>
                <w:sz w:val="20"/>
              </w:rPr>
              <w:t>LIBID</w:t>
            </w:r>
          </w:p>
        </w:tc>
        <w:tc>
          <w:tcPr>
            <w:tcW w:w="1113" w:type="dxa"/>
            <w:tcBorders>
              <w:top w:val="single" w:sz="4" w:space="0" w:color="auto"/>
              <w:left w:val="nil"/>
              <w:bottom w:val="single" w:sz="4" w:space="0" w:color="auto"/>
              <w:right w:val="nil"/>
            </w:tcBorders>
          </w:tcPr>
          <w:p w:rsidR="002D7F4A" w:rsidRPr="00C22471" w:rsidRDefault="002D7F4A" w:rsidP="002D7F4A">
            <w:pPr>
              <w:pStyle w:val="BodyText"/>
              <w:jc w:val="center"/>
              <w:rPr>
                <w:b/>
                <w:bCs/>
                <w:color w:val="000000"/>
                <w:sz w:val="20"/>
              </w:rPr>
            </w:pPr>
            <w:r>
              <w:rPr>
                <w:b/>
                <w:bCs/>
                <w:color w:val="000000"/>
                <w:sz w:val="20"/>
              </w:rPr>
              <w:t>5</w:t>
            </w:r>
            <w:r w:rsidRPr="00C22471">
              <w:rPr>
                <w:b/>
                <w:bCs/>
                <w:color w:val="000000"/>
                <w:sz w:val="20"/>
              </w:rPr>
              <w:t xml:space="preserve"> year</w:t>
            </w:r>
          </w:p>
          <w:p w:rsidR="002D7F4A" w:rsidRPr="00C22471" w:rsidRDefault="002D7F4A" w:rsidP="002D7F4A">
            <w:pPr>
              <w:pStyle w:val="BodyText"/>
              <w:jc w:val="center"/>
              <w:rPr>
                <w:sz w:val="20"/>
              </w:rPr>
            </w:pPr>
            <w:r w:rsidRPr="00C22471">
              <w:rPr>
                <w:b/>
                <w:bCs/>
                <w:color w:val="000000"/>
                <w:sz w:val="20"/>
              </w:rPr>
              <w:t>Gilt Yield</w:t>
            </w:r>
          </w:p>
        </w:tc>
        <w:tc>
          <w:tcPr>
            <w:tcW w:w="1114" w:type="dxa"/>
            <w:tcBorders>
              <w:left w:val="nil"/>
              <w:right w:val="nil"/>
            </w:tcBorders>
          </w:tcPr>
          <w:p w:rsidR="002D7F4A" w:rsidRPr="00C22471" w:rsidRDefault="002D7F4A" w:rsidP="002D7F4A">
            <w:pPr>
              <w:pStyle w:val="BodyText"/>
              <w:jc w:val="center"/>
              <w:rPr>
                <w:b/>
                <w:bCs/>
                <w:color w:val="000000"/>
                <w:sz w:val="20"/>
              </w:rPr>
            </w:pPr>
            <w:r>
              <w:rPr>
                <w:b/>
                <w:bCs/>
                <w:color w:val="000000"/>
                <w:sz w:val="20"/>
              </w:rPr>
              <w:t>10</w:t>
            </w:r>
            <w:r w:rsidRPr="00C22471">
              <w:rPr>
                <w:b/>
                <w:bCs/>
                <w:color w:val="000000"/>
                <w:sz w:val="20"/>
              </w:rPr>
              <w:t xml:space="preserve"> year</w:t>
            </w:r>
          </w:p>
          <w:p w:rsidR="002D7F4A" w:rsidRPr="00C22471" w:rsidRDefault="002D7F4A" w:rsidP="002D7F4A">
            <w:pPr>
              <w:pStyle w:val="BodyText"/>
              <w:jc w:val="center"/>
              <w:rPr>
                <w:sz w:val="20"/>
              </w:rPr>
            </w:pPr>
            <w:r w:rsidRPr="00C22471">
              <w:rPr>
                <w:b/>
                <w:bCs/>
                <w:color w:val="000000"/>
                <w:sz w:val="20"/>
              </w:rPr>
              <w:t>Gilt Yield</w:t>
            </w:r>
          </w:p>
        </w:tc>
        <w:tc>
          <w:tcPr>
            <w:tcW w:w="1114" w:type="dxa"/>
            <w:tcBorders>
              <w:left w:val="nil"/>
              <w:right w:val="nil"/>
            </w:tcBorders>
          </w:tcPr>
          <w:p w:rsidR="002D7F4A" w:rsidRPr="00C22471" w:rsidRDefault="002D7F4A" w:rsidP="002D7F4A">
            <w:pPr>
              <w:pStyle w:val="BodyText"/>
              <w:jc w:val="center"/>
              <w:rPr>
                <w:b/>
                <w:bCs/>
                <w:color w:val="000000"/>
                <w:sz w:val="20"/>
              </w:rPr>
            </w:pPr>
            <w:r>
              <w:rPr>
                <w:b/>
                <w:bCs/>
                <w:color w:val="000000"/>
                <w:sz w:val="20"/>
              </w:rPr>
              <w:t>25</w:t>
            </w:r>
            <w:r w:rsidRPr="00C22471">
              <w:rPr>
                <w:b/>
                <w:bCs/>
                <w:color w:val="000000"/>
                <w:sz w:val="20"/>
              </w:rPr>
              <w:t xml:space="preserve"> year</w:t>
            </w:r>
          </w:p>
          <w:p w:rsidR="002D7F4A" w:rsidRPr="00C22471" w:rsidRDefault="002D7F4A" w:rsidP="002D7F4A">
            <w:pPr>
              <w:pStyle w:val="BodyText"/>
              <w:jc w:val="center"/>
              <w:rPr>
                <w:sz w:val="20"/>
              </w:rPr>
            </w:pPr>
            <w:r w:rsidRPr="00C22471">
              <w:rPr>
                <w:b/>
                <w:bCs/>
                <w:color w:val="000000"/>
                <w:sz w:val="20"/>
              </w:rPr>
              <w:t>Gilt Yield</w:t>
            </w:r>
          </w:p>
        </w:tc>
        <w:tc>
          <w:tcPr>
            <w:tcW w:w="1114" w:type="dxa"/>
            <w:tcBorders>
              <w:left w:val="nil"/>
            </w:tcBorders>
          </w:tcPr>
          <w:p w:rsidR="002D7F4A" w:rsidRPr="00C22471" w:rsidRDefault="002D7F4A" w:rsidP="002D7F4A">
            <w:pPr>
              <w:pStyle w:val="BodyText"/>
              <w:jc w:val="center"/>
              <w:rPr>
                <w:sz w:val="20"/>
              </w:rPr>
            </w:pPr>
            <w:r>
              <w:rPr>
                <w:b/>
                <w:bCs/>
                <w:color w:val="000000"/>
                <w:sz w:val="20"/>
              </w:rPr>
              <w:t>50</w:t>
            </w:r>
            <w:r w:rsidRPr="00C22471">
              <w:rPr>
                <w:b/>
                <w:bCs/>
                <w:color w:val="000000"/>
                <w:sz w:val="20"/>
              </w:rPr>
              <w:t xml:space="preserve"> year Gilt Yield</w:t>
            </w:r>
          </w:p>
        </w:tc>
      </w:tr>
      <w:tr w:rsidR="002D7F4A" w:rsidRPr="00BB4C19" w:rsidTr="002D7F4A">
        <w:tc>
          <w:tcPr>
            <w:tcW w:w="1384" w:type="dxa"/>
            <w:tcBorders>
              <w:bottom w:val="nil"/>
              <w:right w:val="nil"/>
            </w:tcBorders>
          </w:tcPr>
          <w:p w:rsidR="002D7F4A" w:rsidRPr="00044FFD" w:rsidRDefault="002D7F4A" w:rsidP="002D7F4A">
            <w:pPr>
              <w:pStyle w:val="BodyText"/>
              <w:rPr>
                <w:b/>
                <w:sz w:val="20"/>
              </w:rPr>
            </w:pPr>
            <w:r w:rsidRPr="00044FFD">
              <w:rPr>
                <w:b/>
                <w:bCs/>
                <w:color w:val="000000"/>
                <w:sz w:val="20"/>
              </w:rPr>
              <w:t>Mar 14</w:t>
            </w:r>
          </w:p>
        </w:tc>
        <w:tc>
          <w:tcPr>
            <w:tcW w:w="1113" w:type="dxa"/>
            <w:tcBorders>
              <w:left w:val="nil"/>
              <w:bottom w:val="nil"/>
              <w:right w:val="nil"/>
            </w:tcBorders>
          </w:tcPr>
          <w:p w:rsidR="002D7F4A" w:rsidRPr="00C22471" w:rsidRDefault="002D7F4A" w:rsidP="002D7F4A">
            <w:pPr>
              <w:pStyle w:val="BodyText"/>
              <w:jc w:val="center"/>
              <w:rPr>
                <w:sz w:val="20"/>
              </w:rPr>
            </w:pPr>
            <w:r>
              <w:rPr>
                <w:color w:val="000000"/>
                <w:sz w:val="20"/>
              </w:rPr>
              <w:t>0.50</w:t>
            </w:r>
          </w:p>
        </w:tc>
        <w:tc>
          <w:tcPr>
            <w:tcW w:w="1114" w:type="dxa"/>
            <w:tcBorders>
              <w:left w:val="nil"/>
              <w:bottom w:val="nil"/>
              <w:right w:val="nil"/>
            </w:tcBorders>
          </w:tcPr>
          <w:p w:rsidR="002D7F4A" w:rsidRPr="00C22471" w:rsidRDefault="002D7F4A" w:rsidP="002D7F4A">
            <w:pPr>
              <w:pStyle w:val="BodyText"/>
              <w:jc w:val="center"/>
              <w:rPr>
                <w:sz w:val="20"/>
              </w:rPr>
            </w:pPr>
            <w:r w:rsidRPr="00C22471">
              <w:rPr>
                <w:sz w:val="20"/>
              </w:rPr>
              <w:t>0.</w:t>
            </w:r>
            <w:r>
              <w:rPr>
                <w:sz w:val="20"/>
              </w:rPr>
              <w:t>45</w:t>
            </w:r>
          </w:p>
        </w:tc>
        <w:tc>
          <w:tcPr>
            <w:tcW w:w="1114" w:type="dxa"/>
            <w:tcBorders>
              <w:left w:val="nil"/>
              <w:bottom w:val="nil"/>
              <w:right w:val="nil"/>
            </w:tcBorders>
          </w:tcPr>
          <w:p w:rsidR="002D7F4A" w:rsidRPr="00C22471" w:rsidRDefault="002D7F4A" w:rsidP="002D7F4A">
            <w:pPr>
              <w:pStyle w:val="BodyText"/>
              <w:jc w:val="center"/>
              <w:rPr>
                <w:sz w:val="20"/>
              </w:rPr>
            </w:pPr>
            <w:r w:rsidRPr="00C22471">
              <w:rPr>
                <w:sz w:val="20"/>
              </w:rPr>
              <w:t>0.</w:t>
            </w:r>
            <w:r>
              <w:rPr>
                <w:sz w:val="20"/>
              </w:rPr>
              <w:t>90</w:t>
            </w:r>
          </w:p>
        </w:tc>
        <w:tc>
          <w:tcPr>
            <w:tcW w:w="1113" w:type="dxa"/>
            <w:tcBorders>
              <w:top w:val="single" w:sz="4" w:space="0" w:color="auto"/>
              <w:left w:val="nil"/>
              <w:bottom w:val="nil"/>
              <w:right w:val="nil"/>
            </w:tcBorders>
          </w:tcPr>
          <w:p w:rsidR="002D7F4A" w:rsidRPr="00C22471" w:rsidRDefault="002D7F4A" w:rsidP="002D7F4A">
            <w:pPr>
              <w:pStyle w:val="BodyText"/>
              <w:jc w:val="center"/>
              <w:rPr>
                <w:sz w:val="20"/>
              </w:rPr>
            </w:pPr>
            <w:r>
              <w:rPr>
                <w:sz w:val="20"/>
              </w:rPr>
              <w:t>1.45</w:t>
            </w:r>
          </w:p>
        </w:tc>
        <w:tc>
          <w:tcPr>
            <w:tcW w:w="1114" w:type="dxa"/>
            <w:tcBorders>
              <w:left w:val="nil"/>
              <w:bottom w:val="nil"/>
              <w:right w:val="nil"/>
            </w:tcBorders>
          </w:tcPr>
          <w:p w:rsidR="002D7F4A" w:rsidRPr="00C22471" w:rsidRDefault="002D7F4A" w:rsidP="002D7F4A">
            <w:pPr>
              <w:pStyle w:val="BodyText"/>
              <w:jc w:val="center"/>
              <w:rPr>
                <w:sz w:val="20"/>
              </w:rPr>
            </w:pPr>
            <w:r>
              <w:rPr>
                <w:sz w:val="20"/>
              </w:rPr>
              <w:t>2.55</w:t>
            </w:r>
          </w:p>
        </w:tc>
        <w:tc>
          <w:tcPr>
            <w:tcW w:w="1114" w:type="dxa"/>
            <w:tcBorders>
              <w:left w:val="nil"/>
              <w:bottom w:val="nil"/>
              <w:right w:val="nil"/>
            </w:tcBorders>
          </w:tcPr>
          <w:p w:rsidR="002D7F4A" w:rsidRPr="00C22471" w:rsidRDefault="002D7F4A" w:rsidP="002D7F4A">
            <w:pPr>
              <w:pStyle w:val="BodyText"/>
              <w:jc w:val="center"/>
              <w:rPr>
                <w:sz w:val="20"/>
              </w:rPr>
            </w:pPr>
            <w:r>
              <w:rPr>
                <w:sz w:val="20"/>
              </w:rPr>
              <w:t>3.25</w:t>
            </w:r>
          </w:p>
        </w:tc>
        <w:tc>
          <w:tcPr>
            <w:tcW w:w="1114" w:type="dxa"/>
            <w:tcBorders>
              <w:left w:val="nil"/>
              <w:bottom w:val="nil"/>
            </w:tcBorders>
          </w:tcPr>
          <w:p w:rsidR="002D7F4A" w:rsidRPr="00C22471" w:rsidRDefault="002D7F4A" w:rsidP="002D7F4A">
            <w:pPr>
              <w:pStyle w:val="BodyText"/>
              <w:jc w:val="center"/>
              <w:rPr>
                <w:sz w:val="20"/>
              </w:rPr>
            </w:pPr>
            <w:r>
              <w:rPr>
                <w:sz w:val="20"/>
              </w:rPr>
              <w:t>3.45</w:t>
            </w:r>
          </w:p>
        </w:tc>
      </w:tr>
      <w:tr w:rsidR="002D7F4A" w:rsidRPr="00BB4C19" w:rsidTr="002D7F4A">
        <w:tc>
          <w:tcPr>
            <w:tcW w:w="1384" w:type="dxa"/>
            <w:tcBorders>
              <w:top w:val="nil"/>
              <w:bottom w:val="nil"/>
              <w:right w:val="nil"/>
            </w:tcBorders>
          </w:tcPr>
          <w:p w:rsidR="002D7F4A" w:rsidRPr="00044FFD" w:rsidRDefault="002D7F4A" w:rsidP="002D7F4A">
            <w:pPr>
              <w:pStyle w:val="BodyText"/>
              <w:rPr>
                <w:b/>
                <w:sz w:val="20"/>
              </w:rPr>
            </w:pPr>
            <w:r w:rsidRPr="00044FFD">
              <w:rPr>
                <w:b/>
                <w:bCs/>
                <w:color w:val="000000"/>
                <w:sz w:val="20"/>
              </w:rPr>
              <w:t>Jun 14</w:t>
            </w:r>
          </w:p>
        </w:tc>
        <w:tc>
          <w:tcPr>
            <w:tcW w:w="1113" w:type="dxa"/>
            <w:tcBorders>
              <w:top w:val="nil"/>
              <w:left w:val="nil"/>
              <w:bottom w:val="nil"/>
              <w:right w:val="nil"/>
            </w:tcBorders>
          </w:tcPr>
          <w:p w:rsidR="002D7F4A" w:rsidRPr="00C22471" w:rsidRDefault="002D7F4A" w:rsidP="002D7F4A">
            <w:pPr>
              <w:jc w:val="center"/>
            </w:pPr>
            <w:r w:rsidRPr="00C22471">
              <w:rPr>
                <w:color w:val="000000"/>
                <w:sz w:val="20"/>
              </w:rPr>
              <w:t>0.50</w:t>
            </w:r>
          </w:p>
        </w:tc>
        <w:tc>
          <w:tcPr>
            <w:tcW w:w="1114" w:type="dxa"/>
            <w:tcBorders>
              <w:top w:val="nil"/>
              <w:left w:val="nil"/>
              <w:bottom w:val="nil"/>
              <w:right w:val="nil"/>
            </w:tcBorders>
          </w:tcPr>
          <w:p w:rsidR="002D7F4A" w:rsidRPr="00C22471" w:rsidRDefault="002D7F4A" w:rsidP="002D7F4A">
            <w:pPr>
              <w:pStyle w:val="BodyText"/>
              <w:jc w:val="center"/>
              <w:rPr>
                <w:sz w:val="20"/>
              </w:rPr>
            </w:pPr>
            <w:r w:rsidRPr="00C22471">
              <w:rPr>
                <w:sz w:val="20"/>
              </w:rPr>
              <w:t>0.</w:t>
            </w:r>
            <w:r>
              <w:rPr>
                <w:sz w:val="20"/>
              </w:rPr>
              <w:t>45</w:t>
            </w:r>
          </w:p>
        </w:tc>
        <w:tc>
          <w:tcPr>
            <w:tcW w:w="1114" w:type="dxa"/>
            <w:tcBorders>
              <w:top w:val="nil"/>
              <w:left w:val="nil"/>
              <w:bottom w:val="nil"/>
              <w:right w:val="nil"/>
            </w:tcBorders>
          </w:tcPr>
          <w:p w:rsidR="002D7F4A" w:rsidRPr="00C22471" w:rsidRDefault="002D7F4A" w:rsidP="002D7F4A">
            <w:pPr>
              <w:pStyle w:val="BodyText"/>
              <w:jc w:val="center"/>
              <w:rPr>
                <w:sz w:val="20"/>
              </w:rPr>
            </w:pPr>
            <w:r w:rsidRPr="00C22471">
              <w:rPr>
                <w:sz w:val="20"/>
              </w:rPr>
              <w:t>0.9</w:t>
            </w:r>
            <w:r>
              <w:rPr>
                <w:sz w:val="20"/>
              </w:rPr>
              <w:t>5</w:t>
            </w:r>
          </w:p>
        </w:tc>
        <w:tc>
          <w:tcPr>
            <w:tcW w:w="1113" w:type="dxa"/>
            <w:tcBorders>
              <w:top w:val="nil"/>
              <w:left w:val="nil"/>
              <w:bottom w:val="nil"/>
              <w:right w:val="nil"/>
            </w:tcBorders>
          </w:tcPr>
          <w:p w:rsidR="002D7F4A" w:rsidRPr="00C22471" w:rsidRDefault="002D7F4A" w:rsidP="002D7F4A">
            <w:pPr>
              <w:pStyle w:val="BodyText"/>
              <w:jc w:val="center"/>
              <w:rPr>
                <w:sz w:val="20"/>
              </w:rPr>
            </w:pPr>
            <w:r>
              <w:rPr>
                <w:sz w:val="20"/>
              </w:rPr>
              <w:t>1.50</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2.60</w:t>
            </w:r>
          </w:p>
        </w:tc>
        <w:tc>
          <w:tcPr>
            <w:tcW w:w="1114" w:type="dxa"/>
            <w:tcBorders>
              <w:top w:val="nil"/>
              <w:left w:val="nil"/>
              <w:bottom w:val="nil"/>
              <w:right w:val="nil"/>
            </w:tcBorders>
          </w:tcPr>
          <w:p w:rsidR="002D7F4A" w:rsidRPr="00C22471" w:rsidRDefault="002D7F4A" w:rsidP="002D7F4A">
            <w:pPr>
              <w:jc w:val="center"/>
            </w:pPr>
            <w:r>
              <w:rPr>
                <w:sz w:val="20"/>
              </w:rPr>
              <w:t>3.30</w:t>
            </w:r>
          </w:p>
        </w:tc>
        <w:tc>
          <w:tcPr>
            <w:tcW w:w="1114" w:type="dxa"/>
            <w:tcBorders>
              <w:top w:val="nil"/>
              <w:left w:val="nil"/>
              <w:bottom w:val="nil"/>
            </w:tcBorders>
          </w:tcPr>
          <w:p w:rsidR="002D7F4A" w:rsidRPr="00C22471" w:rsidRDefault="002D7F4A" w:rsidP="002D7F4A">
            <w:pPr>
              <w:pStyle w:val="BodyText"/>
              <w:jc w:val="center"/>
              <w:rPr>
                <w:sz w:val="20"/>
              </w:rPr>
            </w:pPr>
            <w:r>
              <w:rPr>
                <w:sz w:val="20"/>
              </w:rPr>
              <w:t>3.50</w:t>
            </w:r>
          </w:p>
        </w:tc>
      </w:tr>
      <w:tr w:rsidR="002D7F4A" w:rsidRPr="00BB4C19" w:rsidTr="002D7F4A">
        <w:tc>
          <w:tcPr>
            <w:tcW w:w="1384" w:type="dxa"/>
            <w:tcBorders>
              <w:top w:val="nil"/>
              <w:bottom w:val="nil"/>
              <w:right w:val="nil"/>
            </w:tcBorders>
          </w:tcPr>
          <w:p w:rsidR="002D7F4A" w:rsidRPr="00044FFD" w:rsidRDefault="002D7F4A" w:rsidP="002D7F4A">
            <w:pPr>
              <w:pStyle w:val="BodyText"/>
              <w:rPr>
                <w:b/>
                <w:sz w:val="20"/>
              </w:rPr>
            </w:pPr>
            <w:r w:rsidRPr="00044FFD">
              <w:rPr>
                <w:b/>
                <w:sz w:val="20"/>
              </w:rPr>
              <w:t>Sep 14</w:t>
            </w:r>
          </w:p>
        </w:tc>
        <w:tc>
          <w:tcPr>
            <w:tcW w:w="1113" w:type="dxa"/>
            <w:tcBorders>
              <w:top w:val="nil"/>
              <w:left w:val="nil"/>
              <w:bottom w:val="nil"/>
              <w:right w:val="nil"/>
            </w:tcBorders>
          </w:tcPr>
          <w:p w:rsidR="002D7F4A" w:rsidRPr="00C22471" w:rsidRDefault="002D7F4A" w:rsidP="002D7F4A">
            <w:pPr>
              <w:jc w:val="center"/>
            </w:pPr>
            <w:r w:rsidRPr="00C22471">
              <w:rPr>
                <w:color w:val="000000"/>
                <w:sz w:val="20"/>
              </w:rPr>
              <w:t>0.50</w:t>
            </w:r>
          </w:p>
        </w:tc>
        <w:tc>
          <w:tcPr>
            <w:tcW w:w="1114" w:type="dxa"/>
            <w:tcBorders>
              <w:top w:val="nil"/>
              <w:left w:val="nil"/>
              <w:bottom w:val="nil"/>
              <w:right w:val="nil"/>
            </w:tcBorders>
          </w:tcPr>
          <w:p w:rsidR="002D7F4A" w:rsidRPr="00C22471" w:rsidRDefault="002D7F4A" w:rsidP="002D7F4A">
            <w:pPr>
              <w:pStyle w:val="BodyText"/>
              <w:jc w:val="center"/>
              <w:rPr>
                <w:sz w:val="20"/>
              </w:rPr>
            </w:pPr>
            <w:r w:rsidRPr="00C22471">
              <w:rPr>
                <w:sz w:val="20"/>
              </w:rPr>
              <w:t>0.</w:t>
            </w:r>
            <w:r>
              <w:rPr>
                <w:sz w:val="20"/>
              </w:rPr>
              <w:t>50</w:t>
            </w:r>
          </w:p>
        </w:tc>
        <w:tc>
          <w:tcPr>
            <w:tcW w:w="1114" w:type="dxa"/>
            <w:tcBorders>
              <w:top w:val="nil"/>
              <w:left w:val="nil"/>
              <w:bottom w:val="nil"/>
              <w:right w:val="nil"/>
            </w:tcBorders>
          </w:tcPr>
          <w:p w:rsidR="002D7F4A" w:rsidRPr="00C22471" w:rsidRDefault="002D7F4A" w:rsidP="002D7F4A">
            <w:pPr>
              <w:pStyle w:val="BodyText"/>
              <w:jc w:val="center"/>
              <w:rPr>
                <w:sz w:val="20"/>
              </w:rPr>
            </w:pPr>
            <w:r w:rsidRPr="00C22471">
              <w:rPr>
                <w:sz w:val="20"/>
              </w:rPr>
              <w:t>0.9</w:t>
            </w:r>
            <w:r>
              <w:rPr>
                <w:sz w:val="20"/>
              </w:rPr>
              <w:t>5</w:t>
            </w:r>
          </w:p>
        </w:tc>
        <w:tc>
          <w:tcPr>
            <w:tcW w:w="1113" w:type="dxa"/>
            <w:tcBorders>
              <w:top w:val="nil"/>
              <w:left w:val="nil"/>
              <w:bottom w:val="nil"/>
              <w:right w:val="nil"/>
            </w:tcBorders>
          </w:tcPr>
          <w:p w:rsidR="002D7F4A" w:rsidRPr="00C22471" w:rsidRDefault="002D7F4A" w:rsidP="002D7F4A">
            <w:pPr>
              <w:pStyle w:val="BodyText"/>
              <w:jc w:val="center"/>
              <w:rPr>
                <w:sz w:val="20"/>
              </w:rPr>
            </w:pPr>
            <w:r>
              <w:rPr>
                <w:sz w:val="20"/>
              </w:rPr>
              <w:t>1.55</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2.65</w:t>
            </w:r>
          </w:p>
        </w:tc>
        <w:tc>
          <w:tcPr>
            <w:tcW w:w="1114" w:type="dxa"/>
            <w:tcBorders>
              <w:top w:val="nil"/>
              <w:left w:val="nil"/>
              <w:bottom w:val="nil"/>
              <w:right w:val="nil"/>
            </w:tcBorders>
          </w:tcPr>
          <w:p w:rsidR="002D7F4A" w:rsidRPr="00C22471" w:rsidRDefault="002D7F4A" w:rsidP="002D7F4A">
            <w:pPr>
              <w:jc w:val="center"/>
            </w:pPr>
            <w:r>
              <w:rPr>
                <w:sz w:val="20"/>
              </w:rPr>
              <w:t>3.35</w:t>
            </w:r>
          </w:p>
        </w:tc>
        <w:tc>
          <w:tcPr>
            <w:tcW w:w="1114" w:type="dxa"/>
            <w:tcBorders>
              <w:top w:val="nil"/>
              <w:left w:val="nil"/>
              <w:bottom w:val="nil"/>
            </w:tcBorders>
          </w:tcPr>
          <w:p w:rsidR="002D7F4A" w:rsidRPr="00C22471" w:rsidRDefault="002D7F4A" w:rsidP="002D7F4A">
            <w:pPr>
              <w:pStyle w:val="BodyText"/>
              <w:jc w:val="center"/>
              <w:rPr>
                <w:sz w:val="20"/>
              </w:rPr>
            </w:pPr>
            <w:r>
              <w:rPr>
                <w:sz w:val="20"/>
              </w:rPr>
              <w:t>3.55</w:t>
            </w:r>
          </w:p>
        </w:tc>
      </w:tr>
      <w:tr w:rsidR="002D7F4A" w:rsidRPr="00BB4C19" w:rsidTr="002D7F4A">
        <w:tc>
          <w:tcPr>
            <w:tcW w:w="1384" w:type="dxa"/>
            <w:tcBorders>
              <w:top w:val="nil"/>
              <w:bottom w:val="nil"/>
              <w:right w:val="nil"/>
            </w:tcBorders>
          </w:tcPr>
          <w:p w:rsidR="002D7F4A" w:rsidRPr="00044FFD" w:rsidRDefault="002D7F4A" w:rsidP="002D7F4A">
            <w:pPr>
              <w:pStyle w:val="BodyText"/>
              <w:rPr>
                <w:b/>
                <w:sz w:val="20"/>
              </w:rPr>
            </w:pPr>
            <w:r w:rsidRPr="00044FFD">
              <w:rPr>
                <w:b/>
                <w:bCs/>
                <w:color w:val="000000"/>
                <w:sz w:val="20"/>
              </w:rPr>
              <w:t>Dec 14</w:t>
            </w:r>
          </w:p>
        </w:tc>
        <w:tc>
          <w:tcPr>
            <w:tcW w:w="1113" w:type="dxa"/>
            <w:tcBorders>
              <w:top w:val="nil"/>
              <w:left w:val="nil"/>
              <w:bottom w:val="nil"/>
              <w:right w:val="nil"/>
            </w:tcBorders>
          </w:tcPr>
          <w:p w:rsidR="002D7F4A" w:rsidRPr="00C22471" w:rsidRDefault="002D7F4A" w:rsidP="002D7F4A">
            <w:pPr>
              <w:jc w:val="center"/>
            </w:pPr>
            <w:r w:rsidRPr="00C22471">
              <w:rPr>
                <w:color w:val="000000"/>
                <w:sz w:val="20"/>
              </w:rPr>
              <w:t>0.50</w:t>
            </w:r>
          </w:p>
        </w:tc>
        <w:tc>
          <w:tcPr>
            <w:tcW w:w="1114" w:type="dxa"/>
            <w:tcBorders>
              <w:top w:val="nil"/>
              <w:left w:val="nil"/>
              <w:bottom w:val="nil"/>
              <w:right w:val="nil"/>
            </w:tcBorders>
          </w:tcPr>
          <w:p w:rsidR="002D7F4A" w:rsidRPr="00C22471" w:rsidRDefault="002D7F4A" w:rsidP="002D7F4A">
            <w:pPr>
              <w:pStyle w:val="BodyText"/>
              <w:jc w:val="center"/>
              <w:rPr>
                <w:sz w:val="20"/>
              </w:rPr>
            </w:pPr>
            <w:r w:rsidRPr="00C22471">
              <w:rPr>
                <w:sz w:val="20"/>
              </w:rPr>
              <w:t>0.</w:t>
            </w:r>
            <w:r>
              <w:rPr>
                <w:sz w:val="20"/>
              </w:rPr>
              <w:t>55</w:t>
            </w:r>
          </w:p>
        </w:tc>
        <w:tc>
          <w:tcPr>
            <w:tcW w:w="1114" w:type="dxa"/>
            <w:tcBorders>
              <w:top w:val="nil"/>
              <w:left w:val="nil"/>
              <w:bottom w:val="nil"/>
              <w:right w:val="nil"/>
            </w:tcBorders>
          </w:tcPr>
          <w:p w:rsidR="002D7F4A" w:rsidRPr="00C22471" w:rsidRDefault="002D7F4A" w:rsidP="002D7F4A">
            <w:pPr>
              <w:pStyle w:val="BodyText"/>
              <w:jc w:val="center"/>
              <w:rPr>
                <w:sz w:val="20"/>
              </w:rPr>
            </w:pPr>
            <w:r w:rsidRPr="00C22471">
              <w:rPr>
                <w:sz w:val="20"/>
              </w:rPr>
              <w:t>0.95</w:t>
            </w:r>
          </w:p>
        </w:tc>
        <w:tc>
          <w:tcPr>
            <w:tcW w:w="1113" w:type="dxa"/>
            <w:tcBorders>
              <w:top w:val="nil"/>
              <w:left w:val="nil"/>
              <w:bottom w:val="nil"/>
              <w:right w:val="nil"/>
            </w:tcBorders>
          </w:tcPr>
          <w:p w:rsidR="002D7F4A" w:rsidRPr="00C22471" w:rsidRDefault="002D7F4A" w:rsidP="002D7F4A">
            <w:pPr>
              <w:pStyle w:val="BodyText"/>
              <w:jc w:val="center"/>
              <w:rPr>
                <w:sz w:val="20"/>
              </w:rPr>
            </w:pPr>
            <w:r>
              <w:rPr>
                <w:sz w:val="20"/>
              </w:rPr>
              <w:t>1.60</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2.70</w:t>
            </w:r>
          </w:p>
        </w:tc>
        <w:tc>
          <w:tcPr>
            <w:tcW w:w="1114" w:type="dxa"/>
            <w:tcBorders>
              <w:top w:val="nil"/>
              <w:left w:val="nil"/>
              <w:bottom w:val="nil"/>
              <w:right w:val="nil"/>
            </w:tcBorders>
          </w:tcPr>
          <w:p w:rsidR="002D7F4A" w:rsidRPr="00C22471" w:rsidRDefault="002D7F4A" w:rsidP="002D7F4A">
            <w:pPr>
              <w:jc w:val="center"/>
            </w:pPr>
            <w:r>
              <w:rPr>
                <w:sz w:val="20"/>
              </w:rPr>
              <w:t>3.40</w:t>
            </w:r>
          </w:p>
        </w:tc>
        <w:tc>
          <w:tcPr>
            <w:tcW w:w="1114" w:type="dxa"/>
            <w:tcBorders>
              <w:top w:val="nil"/>
              <w:left w:val="nil"/>
              <w:bottom w:val="nil"/>
            </w:tcBorders>
          </w:tcPr>
          <w:p w:rsidR="002D7F4A" w:rsidRPr="00C22471" w:rsidRDefault="002D7F4A" w:rsidP="002D7F4A">
            <w:pPr>
              <w:pStyle w:val="BodyText"/>
              <w:jc w:val="center"/>
              <w:rPr>
                <w:sz w:val="20"/>
              </w:rPr>
            </w:pPr>
            <w:r>
              <w:rPr>
                <w:sz w:val="20"/>
              </w:rPr>
              <w:t>3.60</w:t>
            </w:r>
          </w:p>
        </w:tc>
      </w:tr>
      <w:tr w:rsidR="002D7F4A" w:rsidRPr="00BB4C19" w:rsidTr="002D7F4A">
        <w:tc>
          <w:tcPr>
            <w:tcW w:w="1384" w:type="dxa"/>
            <w:tcBorders>
              <w:top w:val="nil"/>
              <w:bottom w:val="nil"/>
              <w:right w:val="nil"/>
            </w:tcBorders>
          </w:tcPr>
          <w:p w:rsidR="002D7F4A" w:rsidRPr="00044FFD" w:rsidRDefault="002D7F4A" w:rsidP="002D7F4A">
            <w:pPr>
              <w:pStyle w:val="BodyText"/>
              <w:rPr>
                <w:b/>
                <w:sz w:val="20"/>
              </w:rPr>
            </w:pPr>
            <w:r w:rsidRPr="00044FFD">
              <w:rPr>
                <w:b/>
                <w:bCs/>
                <w:color w:val="000000"/>
                <w:sz w:val="20"/>
              </w:rPr>
              <w:t>Mar 15</w:t>
            </w:r>
          </w:p>
        </w:tc>
        <w:tc>
          <w:tcPr>
            <w:tcW w:w="1113" w:type="dxa"/>
            <w:tcBorders>
              <w:top w:val="nil"/>
              <w:left w:val="nil"/>
              <w:bottom w:val="nil"/>
              <w:right w:val="nil"/>
            </w:tcBorders>
          </w:tcPr>
          <w:p w:rsidR="002D7F4A" w:rsidRPr="00C22471" w:rsidRDefault="002D7F4A" w:rsidP="002D7F4A">
            <w:pPr>
              <w:jc w:val="center"/>
            </w:pPr>
            <w:r w:rsidRPr="00C22471">
              <w:rPr>
                <w:color w:val="000000"/>
                <w:sz w:val="20"/>
              </w:rPr>
              <w:t>0.50</w:t>
            </w:r>
          </w:p>
        </w:tc>
        <w:tc>
          <w:tcPr>
            <w:tcW w:w="1114" w:type="dxa"/>
            <w:tcBorders>
              <w:top w:val="nil"/>
              <w:left w:val="nil"/>
              <w:bottom w:val="nil"/>
              <w:right w:val="nil"/>
            </w:tcBorders>
          </w:tcPr>
          <w:p w:rsidR="002D7F4A" w:rsidRPr="00C22471" w:rsidRDefault="002D7F4A" w:rsidP="002D7F4A">
            <w:pPr>
              <w:pStyle w:val="BodyText"/>
              <w:jc w:val="center"/>
              <w:rPr>
                <w:sz w:val="20"/>
              </w:rPr>
            </w:pPr>
            <w:r w:rsidRPr="00C22471">
              <w:rPr>
                <w:sz w:val="20"/>
              </w:rPr>
              <w:t>0.</w:t>
            </w:r>
            <w:r>
              <w:rPr>
                <w:sz w:val="20"/>
              </w:rPr>
              <w:t>65</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1.00</w:t>
            </w:r>
          </w:p>
        </w:tc>
        <w:tc>
          <w:tcPr>
            <w:tcW w:w="1113" w:type="dxa"/>
            <w:tcBorders>
              <w:top w:val="nil"/>
              <w:left w:val="nil"/>
              <w:bottom w:val="nil"/>
              <w:right w:val="nil"/>
            </w:tcBorders>
          </w:tcPr>
          <w:p w:rsidR="002D7F4A" w:rsidRPr="00C22471" w:rsidRDefault="002D7F4A" w:rsidP="002D7F4A">
            <w:pPr>
              <w:pStyle w:val="BodyText"/>
              <w:jc w:val="center"/>
              <w:rPr>
                <w:sz w:val="20"/>
              </w:rPr>
            </w:pPr>
            <w:r>
              <w:rPr>
                <w:sz w:val="20"/>
              </w:rPr>
              <w:t>1.65</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2.75</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3.45</w:t>
            </w:r>
          </w:p>
        </w:tc>
        <w:tc>
          <w:tcPr>
            <w:tcW w:w="1114" w:type="dxa"/>
            <w:tcBorders>
              <w:top w:val="nil"/>
              <w:left w:val="nil"/>
              <w:bottom w:val="nil"/>
            </w:tcBorders>
          </w:tcPr>
          <w:p w:rsidR="002D7F4A" w:rsidRPr="00C22471" w:rsidRDefault="002D7F4A" w:rsidP="002D7F4A">
            <w:pPr>
              <w:pStyle w:val="BodyText"/>
              <w:jc w:val="center"/>
              <w:rPr>
                <w:sz w:val="20"/>
              </w:rPr>
            </w:pPr>
            <w:r>
              <w:rPr>
                <w:sz w:val="20"/>
              </w:rPr>
              <w:t>3.65</w:t>
            </w:r>
          </w:p>
        </w:tc>
      </w:tr>
      <w:tr w:rsidR="002D7F4A" w:rsidRPr="00BB4C19" w:rsidTr="002D7F4A">
        <w:tc>
          <w:tcPr>
            <w:tcW w:w="1384" w:type="dxa"/>
            <w:tcBorders>
              <w:top w:val="nil"/>
              <w:bottom w:val="nil"/>
              <w:right w:val="nil"/>
            </w:tcBorders>
          </w:tcPr>
          <w:p w:rsidR="002D7F4A" w:rsidRPr="00044FFD" w:rsidRDefault="002D7F4A" w:rsidP="002D7F4A">
            <w:pPr>
              <w:pStyle w:val="BodyText"/>
              <w:rPr>
                <w:b/>
                <w:sz w:val="20"/>
              </w:rPr>
            </w:pPr>
            <w:r w:rsidRPr="00044FFD">
              <w:rPr>
                <w:b/>
                <w:bCs/>
                <w:color w:val="000000"/>
                <w:sz w:val="20"/>
              </w:rPr>
              <w:t>Jun 15</w:t>
            </w:r>
          </w:p>
        </w:tc>
        <w:tc>
          <w:tcPr>
            <w:tcW w:w="1113" w:type="dxa"/>
            <w:tcBorders>
              <w:top w:val="nil"/>
              <w:left w:val="nil"/>
              <w:bottom w:val="nil"/>
              <w:right w:val="nil"/>
            </w:tcBorders>
          </w:tcPr>
          <w:p w:rsidR="002D7F4A" w:rsidRPr="00C22471" w:rsidRDefault="002D7F4A" w:rsidP="002D7F4A">
            <w:pPr>
              <w:jc w:val="center"/>
            </w:pPr>
            <w:r w:rsidRPr="00C22471">
              <w:rPr>
                <w:color w:val="000000"/>
                <w:sz w:val="20"/>
              </w:rPr>
              <w:t>0.50</w:t>
            </w:r>
          </w:p>
        </w:tc>
        <w:tc>
          <w:tcPr>
            <w:tcW w:w="1114" w:type="dxa"/>
            <w:tcBorders>
              <w:top w:val="nil"/>
              <w:left w:val="nil"/>
              <w:bottom w:val="nil"/>
              <w:right w:val="nil"/>
            </w:tcBorders>
          </w:tcPr>
          <w:p w:rsidR="002D7F4A" w:rsidRPr="00C22471" w:rsidRDefault="002D7F4A" w:rsidP="002D7F4A">
            <w:pPr>
              <w:pStyle w:val="BodyText"/>
              <w:jc w:val="center"/>
              <w:rPr>
                <w:sz w:val="20"/>
              </w:rPr>
            </w:pPr>
            <w:r w:rsidRPr="00C22471">
              <w:rPr>
                <w:sz w:val="20"/>
              </w:rPr>
              <w:t>0.</w:t>
            </w:r>
            <w:r>
              <w:rPr>
                <w:sz w:val="20"/>
              </w:rPr>
              <w:t>75</w:t>
            </w:r>
          </w:p>
        </w:tc>
        <w:tc>
          <w:tcPr>
            <w:tcW w:w="1114" w:type="dxa"/>
            <w:tcBorders>
              <w:top w:val="nil"/>
              <w:left w:val="nil"/>
              <w:bottom w:val="nil"/>
              <w:right w:val="nil"/>
            </w:tcBorders>
          </w:tcPr>
          <w:p w:rsidR="002D7F4A" w:rsidRPr="00C22471" w:rsidRDefault="002D7F4A" w:rsidP="002D7F4A">
            <w:pPr>
              <w:pStyle w:val="BodyText"/>
              <w:jc w:val="center"/>
              <w:rPr>
                <w:sz w:val="20"/>
              </w:rPr>
            </w:pPr>
            <w:r w:rsidRPr="00C22471">
              <w:rPr>
                <w:sz w:val="20"/>
              </w:rPr>
              <w:t>1.0</w:t>
            </w:r>
            <w:r>
              <w:rPr>
                <w:sz w:val="20"/>
              </w:rPr>
              <w:t>5</w:t>
            </w:r>
          </w:p>
        </w:tc>
        <w:tc>
          <w:tcPr>
            <w:tcW w:w="1113" w:type="dxa"/>
            <w:tcBorders>
              <w:top w:val="nil"/>
              <w:left w:val="nil"/>
              <w:bottom w:val="nil"/>
              <w:right w:val="nil"/>
            </w:tcBorders>
          </w:tcPr>
          <w:p w:rsidR="002D7F4A" w:rsidRPr="00C22471" w:rsidRDefault="002D7F4A" w:rsidP="002D7F4A">
            <w:pPr>
              <w:pStyle w:val="BodyText"/>
              <w:jc w:val="center"/>
              <w:rPr>
                <w:sz w:val="20"/>
              </w:rPr>
            </w:pPr>
            <w:r>
              <w:rPr>
                <w:sz w:val="20"/>
              </w:rPr>
              <w:t>1.70</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2.80</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3.50</w:t>
            </w:r>
          </w:p>
        </w:tc>
        <w:tc>
          <w:tcPr>
            <w:tcW w:w="1114" w:type="dxa"/>
            <w:tcBorders>
              <w:top w:val="nil"/>
              <w:left w:val="nil"/>
              <w:bottom w:val="nil"/>
            </w:tcBorders>
          </w:tcPr>
          <w:p w:rsidR="002D7F4A" w:rsidRPr="00C22471" w:rsidRDefault="002D7F4A" w:rsidP="002D7F4A">
            <w:pPr>
              <w:pStyle w:val="BodyText"/>
              <w:jc w:val="center"/>
              <w:rPr>
                <w:sz w:val="20"/>
              </w:rPr>
            </w:pPr>
            <w:r>
              <w:rPr>
                <w:sz w:val="20"/>
              </w:rPr>
              <w:t>3.70</w:t>
            </w:r>
          </w:p>
        </w:tc>
      </w:tr>
      <w:tr w:rsidR="002D7F4A" w:rsidRPr="00BB4C19" w:rsidTr="002D7F4A">
        <w:tc>
          <w:tcPr>
            <w:tcW w:w="1384" w:type="dxa"/>
            <w:tcBorders>
              <w:top w:val="nil"/>
              <w:bottom w:val="nil"/>
              <w:right w:val="nil"/>
            </w:tcBorders>
          </w:tcPr>
          <w:p w:rsidR="002D7F4A" w:rsidRPr="00044FFD" w:rsidRDefault="002D7F4A" w:rsidP="002D7F4A">
            <w:pPr>
              <w:pStyle w:val="BodyText"/>
              <w:rPr>
                <w:b/>
                <w:bCs/>
                <w:color w:val="000000"/>
                <w:sz w:val="20"/>
              </w:rPr>
            </w:pPr>
            <w:r w:rsidRPr="00044FFD">
              <w:rPr>
                <w:b/>
                <w:bCs/>
                <w:color w:val="000000"/>
                <w:sz w:val="20"/>
              </w:rPr>
              <w:t>Sep 15</w:t>
            </w:r>
          </w:p>
        </w:tc>
        <w:tc>
          <w:tcPr>
            <w:tcW w:w="1113" w:type="dxa"/>
            <w:tcBorders>
              <w:top w:val="nil"/>
              <w:left w:val="nil"/>
              <w:bottom w:val="nil"/>
              <w:right w:val="nil"/>
            </w:tcBorders>
          </w:tcPr>
          <w:p w:rsidR="002D7F4A" w:rsidRPr="00C22471" w:rsidRDefault="002D7F4A" w:rsidP="002D7F4A">
            <w:pPr>
              <w:jc w:val="center"/>
            </w:pPr>
            <w:r w:rsidRPr="00C22471">
              <w:rPr>
                <w:color w:val="000000"/>
                <w:sz w:val="20"/>
              </w:rPr>
              <w:t>0.50</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sidRPr="00C22471">
              <w:rPr>
                <w:color w:val="000000"/>
                <w:sz w:val="20"/>
              </w:rPr>
              <w:t>0.</w:t>
            </w:r>
            <w:r>
              <w:rPr>
                <w:color w:val="000000"/>
                <w:sz w:val="20"/>
              </w:rPr>
              <w:t>75</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sidRPr="00C22471">
              <w:rPr>
                <w:color w:val="000000"/>
                <w:sz w:val="20"/>
              </w:rPr>
              <w:t>1.</w:t>
            </w:r>
            <w:r>
              <w:rPr>
                <w:color w:val="000000"/>
                <w:sz w:val="20"/>
              </w:rPr>
              <w:t>10</w:t>
            </w:r>
          </w:p>
        </w:tc>
        <w:tc>
          <w:tcPr>
            <w:tcW w:w="1113" w:type="dxa"/>
            <w:tcBorders>
              <w:top w:val="nil"/>
              <w:left w:val="nil"/>
              <w:bottom w:val="nil"/>
              <w:right w:val="nil"/>
            </w:tcBorders>
          </w:tcPr>
          <w:p w:rsidR="002D7F4A" w:rsidRPr="00C22471" w:rsidRDefault="002D7F4A" w:rsidP="002D7F4A">
            <w:pPr>
              <w:pStyle w:val="BodyText"/>
              <w:jc w:val="center"/>
              <w:rPr>
                <w:color w:val="000000"/>
                <w:sz w:val="20"/>
              </w:rPr>
            </w:pPr>
            <w:r>
              <w:rPr>
                <w:color w:val="000000"/>
                <w:sz w:val="20"/>
              </w:rPr>
              <w:t>1.75</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Pr>
                <w:color w:val="000000"/>
                <w:sz w:val="20"/>
              </w:rPr>
              <w:t>2.85</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Pr>
                <w:color w:val="000000"/>
                <w:sz w:val="20"/>
              </w:rPr>
              <w:t>3.55</w:t>
            </w:r>
          </w:p>
        </w:tc>
        <w:tc>
          <w:tcPr>
            <w:tcW w:w="1114" w:type="dxa"/>
            <w:tcBorders>
              <w:top w:val="nil"/>
              <w:left w:val="nil"/>
              <w:bottom w:val="nil"/>
            </w:tcBorders>
          </w:tcPr>
          <w:p w:rsidR="002D7F4A" w:rsidRPr="00C22471" w:rsidRDefault="002D7F4A" w:rsidP="002D7F4A">
            <w:pPr>
              <w:pStyle w:val="BodyText"/>
              <w:jc w:val="center"/>
              <w:rPr>
                <w:color w:val="000000"/>
                <w:sz w:val="20"/>
              </w:rPr>
            </w:pPr>
            <w:r>
              <w:rPr>
                <w:color w:val="000000"/>
                <w:sz w:val="20"/>
              </w:rPr>
              <w:t>3.75</w:t>
            </w:r>
          </w:p>
        </w:tc>
      </w:tr>
      <w:tr w:rsidR="002D7F4A" w:rsidRPr="00BB4C19" w:rsidTr="002D7F4A">
        <w:tc>
          <w:tcPr>
            <w:tcW w:w="1384" w:type="dxa"/>
            <w:tcBorders>
              <w:top w:val="nil"/>
              <w:bottom w:val="nil"/>
              <w:right w:val="nil"/>
            </w:tcBorders>
          </w:tcPr>
          <w:p w:rsidR="002D7F4A" w:rsidRPr="00044FFD" w:rsidRDefault="002D7F4A" w:rsidP="002D7F4A">
            <w:pPr>
              <w:pStyle w:val="BodyText"/>
              <w:rPr>
                <w:b/>
                <w:bCs/>
                <w:color w:val="000000"/>
                <w:sz w:val="20"/>
              </w:rPr>
            </w:pPr>
            <w:r w:rsidRPr="00044FFD">
              <w:rPr>
                <w:b/>
                <w:bCs/>
                <w:color w:val="000000"/>
                <w:sz w:val="20"/>
              </w:rPr>
              <w:t>Dec 15</w:t>
            </w:r>
          </w:p>
        </w:tc>
        <w:tc>
          <w:tcPr>
            <w:tcW w:w="1113" w:type="dxa"/>
            <w:tcBorders>
              <w:top w:val="nil"/>
              <w:left w:val="nil"/>
              <w:bottom w:val="nil"/>
              <w:right w:val="nil"/>
            </w:tcBorders>
          </w:tcPr>
          <w:p w:rsidR="002D7F4A" w:rsidRPr="00C22471" w:rsidRDefault="002D7F4A" w:rsidP="002D7F4A">
            <w:pPr>
              <w:jc w:val="center"/>
            </w:pPr>
            <w:r w:rsidRPr="00C22471">
              <w:rPr>
                <w:color w:val="000000"/>
                <w:sz w:val="20"/>
              </w:rPr>
              <w:t>0.50</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sidRPr="00C22471">
              <w:rPr>
                <w:color w:val="000000"/>
                <w:sz w:val="20"/>
              </w:rPr>
              <w:t>0.</w:t>
            </w:r>
            <w:r>
              <w:rPr>
                <w:color w:val="000000"/>
                <w:sz w:val="20"/>
              </w:rPr>
              <w:t>75</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sidRPr="00C22471">
              <w:rPr>
                <w:color w:val="000000"/>
                <w:sz w:val="20"/>
              </w:rPr>
              <w:t>1.</w:t>
            </w:r>
            <w:r>
              <w:rPr>
                <w:color w:val="000000"/>
                <w:sz w:val="20"/>
              </w:rPr>
              <w:t>15</w:t>
            </w:r>
          </w:p>
        </w:tc>
        <w:tc>
          <w:tcPr>
            <w:tcW w:w="1113" w:type="dxa"/>
            <w:tcBorders>
              <w:top w:val="nil"/>
              <w:left w:val="nil"/>
              <w:bottom w:val="nil"/>
              <w:right w:val="nil"/>
            </w:tcBorders>
          </w:tcPr>
          <w:p w:rsidR="002D7F4A" w:rsidRPr="00C22471" w:rsidRDefault="002D7F4A" w:rsidP="002D7F4A">
            <w:pPr>
              <w:pStyle w:val="BodyText"/>
              <w:jc w:val="center"/>
              <w:rPr>
                <w:color w:val="000000"/>
                <w:sz w:val="20"/>
              </w:rPr>
            </w:pPr>
            <w:r>
              <w:rPr>
                <w:color w:val="000000"/>
                <w:sz w:val="20"/>
              </w:rPr>
              <w:t>1.85</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Pr>
                <w:color w:val="000000"/>
                <w:sz w:val="20"/>
              </w:rPr>
              <w:t>2.90</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Pr>
                <w:color w:val="000000"/>
                <w:sz w:val="20"/>
              </w:rPr>
              <w:t>3.65</w:t>
            </w:r>
          </w:p>
        </w:tc>
        <w:tc>
          <w:tcPr>
            <w:tcW w:w="1114" w:type="dxa"/>
            <w:tcBorders>
              <w:top w:val="nil"/>
              <w:left w:val="nil"/>
              <w:bottom w:val="nil"/>
            </w:tcBorders>
          </w:tcPr>
          <w:p w:rsidR="002D7F4A" w:rsidRPr="00C22471" w:rsidRDefault="002D7F4A" w:rsidP="002D7F4A">
            <w:pPr>
              <w:pStyle w:val="BodyText"/>
              <w:jc w:val="center"/>
              <w:rPr>
                <w:color w:val="000000"/>
                <w:sz w:val="20"/>
              </w:rPr>
            </w:pPr>
            <w:r>
              <w:rPr>
                <w:color w:val="000000"/>
                <w:sz w:val="20"/>
              </w:rPr>
              <w:t>3.80</w:t>
            </w:r>
          </w:p>
        </w:tc>
      </w:tr>
      <w:tr w:rsidR="002D7F4A" w:rsidRPr="00BB4C19" w:rsidTr="002D7F4A">
        <w:tc>
          <w:tcPr>
            <w:tcW w:w="1384" w:type="dxa"/>
            <w:tcBorders>
              <w:top w:val="nil"/>
              <w:bottom w:val="nil"/>
              <w:right w:val="nil"/>
            </w:tcBorders>
          </w:tcPr>
          <w:p w:rsidR="002D7F4A" w:rsidRPr="00044FFD" w:rsidRDefault="002D7F4A" w:rsidP="002D7F4A">
            <w:pPr>
              <w:pStyle w:val="BodyText"/>
              <w:rPr>
                <w:b/>
                <w:bCs/>
                <w:color w:val="000000"/>
                <w:sz w:val="20"/>
              </w:rPr>
            </w:pPr>
            <w:r w:rsidRPr="00044FFD">
              <w:rPr>
                <w:b/>
                <w:bCs/>
                <w:color w:val="000000"/>
                <w:sz w:val="20"/>
              </w:rPr>
              <w:t>Mar 16</w:t>
            </w:r>
          </w:p>
        </w:tc>
        <w:tc>
          <w:tcPr>
            <w:tcW w:w="1113" w:type="dxa"/>
            <w:tcBorders>
              <w:top w:val="nil"/>
              <w:left w:val="nil"/>
              <w:bottom w:val="nil"/>
              <w:right w:val="nil"/>
            </w:tcBorders>
          </w:tcPr>
          <w:p w:rsidR="002D7F4A" w:rsidRPr="00C22471" w:rsidRDefault="002D7F4A" w:rsidP="002D7F4A">
            <w:pPr>
              <w:jc w:val="center"/>
            </w:pPr>
            <w:r w:rsidRPr="00C22471">
              <w:rPr>
                <w:color w:val="000000"/>
                <w:sz w:val="20"/>
              </w:rPr>
              <w:t>0.50</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sidRPr="00C22471">
              <w:rPr>
                <w:color w:val="000000"/>
                <w:sz w:val="20"/>
              </w:rPr>
              <w:t>0.</w:t>
            </w:r>
            <w:r>
              <w:rPr>
                <w:color w:val="000000"/>
                <w:sz w:val="20"/>
              </w:rPr>
              <w:t>75</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sidRPr="00C22471">
              <w:rPr>
                <w:color w:val="000000"/>
                <w:sz w:val="20"/>
              </w:rPr>
              <w:t>1.</w:t>
            </w:r>
            <w:r>
              <w:rPr>
                <w:color w:val="000000"/>
                <w:sz w:val="20"/>
              </w:rPr>
              <w:t>20</w:t>
            </w:r>
          </w:p>
        </w:tc>
        <w:tc>
          <w:tcPr>
            <w:tcW w:w="1113" w:type="dxa"/>
            <w:tcBorders>
              <w:top w:val="nil"/>
              <w:left w:val="nil"/>
              <w:bottom w:val="nil"/>
              <w:right w:val="nil"/>
            </w:tcBorders>
          </w:tcPr>
          <w:p w:rsidR="002D7F4A" w:rsidRPr="00C22471" w:rsidRDefault="002D7F4A" w:rsidP="002D7F4A">
            <w:pPr>
              <w:pStyle w:val="BodyText"/>
              <w:jc w:val="center"/>
              <w:rPr>
                <w:color w:val="000000"/>
                <w:sz w:val="20"/>
              </w:rPr>
            </w:pPr>
            <w:r>
              <w:rPr>
                <w:color w:val="000000"/>
                <w:sz w:val="20"/>
              </w:rPr>
              <w:t>1.95</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Pr>
                <w:color w:val="000000"/>
                <w:sz w:val="20"/>
              </w:rPr>
              <w:t>3.00</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Pr>
                <w:color w:val="000000"/>
                <w:sz w:val="20"/>
              </w:rPr>
              <w:t>3.75</w:t>
            </w:r>
          </w:p>
        </w:tc>
        <w:tc>
          <w:tcPr>
            <w:tcW w:w="1114" w:type="dxa"/>
            <w:tcBorders>
              <w:top w:val="nil"/>
              <w:left w:val="nil"/>
              <w:bottom w:val="nil"/>
            </w:tcBorders>
          </w:tcPr>
          <w:p w:rsidR="002D7F4A" w:rsidRPr="00C22471" w:rsidRDefault="002D7F4A" w:rsidP="002D7F4A">
            <w:pPr>
              <w:pStyle w:val="BodyText"/>
              <w:jc w:val="center"/>
              <w:rPr>
                <w:color w:val="000000"/>
                <w:sz w:val="20"/>
              </w:rPr>
            </w:pPr>
            <w:r>
              <w:rPr>
                <w:color w:val="000000"/>
                <w:sz w:val="20"/>
              </w:rPr>
              <w:t>3.85</w:t>
            </w:r>
          </w:p>
        </w:tc>
      </w:tr>
      <w:tr w:rsidR="002D7F4A" w:rsidRPr="00BB4C19" w:rsidTr="002D7F4A">
        <w:tc>
          <w:tcPr>
            <w:tcW w:w="1384" w:type="dxa"/>
            <w:tcBorders>
              <w:top w:val="nil"/>
              <w:bottom w:val="nil"/>
              <w:right w:val="nil"/>
            </w:tcBorders>
          </w:tcPr>
          <w:p w:rsidR="002D7F4A" w:rsidRPr="00044FFD" w:rsidRDefault="002D7F4A" w:rsidP="002D7F4A">
            <w:pPr>
              <w:pStyle w:val="BodyText"/>
              <w:rPr>
                <w:b/>
                <w:bCs/>
                <w:color w:val="000000"/>
                <w:sz w:val="20"/>
              </w:rPr>
            </w:pPr>
            <w:r w:rsidRPr="00044FFD">
              <w:rPr>
                <w:b/>
                <w:bCs/>
                <w:color w:val="000000"/>
                <w:sz w:val="20"/>
              </w:rPr>
              <w:t>Jun 16</w:t>
            </w:r>
          </w:p>
        </w:tc>
        <w:tc>
          <w:tcPr>
            <w:tcW w:w="1113" w:type="dxa"/>
            <w:tcBorders>
              <w:top w:val="nil"/>
              <w:left w:val="nil"/>
              <w:bottom w:val="nil"/>
              <w:right w:val="nil"/>
            </w:tcBorders>
          </w:tcPr>
          <w:p w:rsidR="002D7F4A" w:rsidRPr="00C22471" w:rsidRDefault="002D7F4A" w:rsidP="002D7F4A">
            <w:pPr>
              <w:jc w:val="center"/>
            </w:pPr>
            <w:r w:rsidRPr="00C22471">
              <w:rPr>
                <w:color w:val="000000"/>
                <w:sz w:val="20"/>
              </w:rPr>
              <w:t>0.50</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sidRPr="00C22471">
              <w:rPr>
                <w:color w:val="000000"/>
                <w:sz w:val="20"/>
              </w:rPr>
              <w:t>0.</w:t>
            </w:r>
            <w:r>
              <w:rPr>
                <w:color w:val="000000"/>
                <w:sz w:val="20"/>
              </w:rPr>
              <w:t>75</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sidRPr="00C22471">
              <w:rPr>
                <w:color w:val="000000"/>
                <w:sz w:val="20"/>
              </w:rPr>
              <w:t>1.</w:t>
            </w:r>
            <w:r>
              <w:rPr>
                <w:color w:val="000000"/>
                <w:sz w:val="20"/>
              </w:rPr>
              <w:t>25</w:t>
            </w:r>
          </w:p>
        </w:tc>
        <w:tc>
          <w:tcPr>
            <w:tcW w:w="1113" w:type="dxa"/>
            <w:tcBorders>
              <w:top w:val="nil"/>
              <w:left w:val="nil"/>
              <w:bottom w:val="nil"/>
              <w:right w:val="nil"/>
            </w:tcBorders>
          </w:tcPr>
          <w:p w:rsidR="002D7F4A" w:rsidRPr="00C22471" w:rsidRDefault="002D7F4A" w:rsidP="002D7F4A">
            <w:pPr>
              <w:pStyle w:val="BodyText"/>
              <w:jc w:val="center"/>
              <w:rPr>
                <w:color w:val="000000"/>
                <w:sz w:val="20"/>
              </w:rPr>
            </w:pPr>
            <w:r>
              <w:rPr>
                <w:color w:val="000000"/>
                <w:sz w:val="20"/>
              </w:rPr>
              <w:t>2.10</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Pr>
                <w:color w:val="000000"/>
                <w:sz w:val="20"/>
              </w:rPr>
              <w:t>3.10</w:t>
            </w:r>
          </w:p>
        </w:tc>
        <w:tc>
          <w:tcPr>
            <w:tcW w:w="1114" w:type="dxa"/>
            <w:tcBorders>
              <w:top w:val="nil"/>
              <w:left w:val="nil"/>
              <w:bottom w:val="nil"/>
              <w:right w:val="nil"/>
            </w:tcBorders>
          </w:tcPr>
          <w:p w:rsidR="002D7F4A" w:rsidRPr="00C22471" w:rsidRDefault="002D7F4A" w:rsidP="002D7F4A">
            <w:pPr>
              <w:pStyle w:val="BodyText"/>
              <w:jc w:val="center"/>
              <w:rPr>
                <w:color w:val="000000"/>
                <w:sz w:val="20"/>
              </w:rPr>
            </w:pPr>
            <w:r>
              <w:rPr>
                <w:color w:val="000000"/>
                <w:sz w:val="20"/>
              </w:rPr>
              <w:t>3.85</w:t>
            </w:r>
          </w:p>
        </w:tc>
        <w:tc>
          <w:tcPr>
            <w:tcW w:w="1114" w:type="dxa"/>
            <w:tcBorders>
              <w:top w:val="nil"/>
              <w:left w:val="nil"/>
              <w:bottom w:val="nil"/>
            </w:tcBorders>
          </w:tcPr>
          <w:p w:rsidR="002D7F4A" w:rsidRPr="00C22471" w:rsidRDefault="002D7F4A" w:rsidP="002D7F4A">
            <w:pPr>
              <w:pStyle w:val="BodyText"/>
              <w:jc w:val="center"/>
              <w:rPr>
                <w:color w:val="000000"/>
                <w:sz w:val="20"/>
              </w:rPr>
            </w:pPr>
            <w:r>
              <w:rPr>
                <w:color w:val="000000"/>
                <w:sz w:val="20"/>
              </w:rPr>
              <w:t>3.95</w:t>
            </w:r>
          </w:p>
        </w:tc>
      </w:tr>
      <w:tr w:rsidR="002D7F4A" w:rsidRPr="00284EC1" w:rsidTr="002D7F4A">
        <w:tc>
          <w:tcPr>
            <w:tcW w:w="1384" w:type="dxa"/>
            <w:tcBorders>
              <w:top w:val="nil"/>
              <w:bottom w:val="nil"/>
              <w:right w:val="nil"/>
            </w:tcBorders>
          </w:tcPr>
          <w:p w:rsidR="002D7F4A" w:rsidRPr="00044FFD" w:rsidRDefault="002D7F4A" w:rsidP="002D7F4A">
            <w:pPr>
              <w:pStyle w:val="BodyText"/>
              <w:rPr>
                <w:b/>
                <w:sz w:val="20"/>
              </w:rPr>
            </w:pPr>
            <w:r w:rsidRPr="00044FFD">
              <w:rPr>
                <w:b/>
                <w:bCs/>
                <w:color w:val="000000"/>
                <w:sz w:val="20"/>
              </w:rPr>
              <w:t>Sep 16</w:t>
            </w:r>
          </w:p>
        </w:tc>
        <w:tc>
          <w:tcPr>
            <w:tcW w:w="1113" w:type="dxa"/>
            <w:tcBorders>
              <w:top w:val="nil"/>
              <w:left w:val="nil"/>
              <w:bottom w:val="nil"/>
              <w:right w:val="nil"/>
            </w:tcBorders>
          </w:tcPr>
          <w:p w:rsidR="002D7F4A" w:rsidRPr="00C22471" w:rsidRDefault="002D7F4A" w:rsidP="002D7F4A">
            <w:pPr>
              <w:jc w:val="center"/>
            </w:pPr>
            <w:r w:rsidRPr="00C22471">
              <w:rPr>
                <w:color w:val="000000"/>
                <w:sz w:val="20"/>
              </w:rPr>
              <w:t>0.50</w:t>
            </w:r>
          </w:p>
        </w:tc>
        <w:tc>
          <w:tcPr>
            <w:tcW w:w="1114" w:type="dxa"/>
            <w:tcBorders>
              <w:top w:val="nil"/>
              <w:left w:val="nil"/>
              <w:bottom w:val="nil"/>
              <w:right w:val="nil"/>
            </w:tcBorders>
          </w:tcPr>
          <w:p w:rsidR="002D7F4A" w:rsidRPr="00C22471" w:rsidRDefault="002D7F4A" w:rsidP="002D7F4A">
            <w:pPr>
              <w:pStyle w:val="BodyText"/>
              <w:jc w:val="center"/>
              <w:rPr>
                <w:sz w:val="20"/>
              </w:rPr>
            </w:pPr>
            <w:r w:rsidRPr="00C22471">
              <w:rPr>
                <w:sz w:val="20"/>
              </w:rPr>
              <w:t>0.</w:t>
            </w:r>
            <w:r>
              <w:rPr>
                <w:sz w:val="20"/>
              </w:rPr>
              <w:t>80</w:t>
            </w:r>
          </w:p>
        </w:tc>
        <w:tc>
          <w:tcPr>
            <w:tcW w:w="1114" w:type="dxa"/>
            <w:tcBorders>
              <w:top w:val="nil"/>
              <w:left w:val="nil"/>
              <w:bottom w:val="nil"/>
              <w:right w:val="nil"/>
            </w:tcBorders>
          </w:tcPr>
          <w:p w:rsidR="002D7F4A" w:rsidRPr="00C22471" w:rsidRDefault="002D7F4A" w:rsidP="002D7F4A">
            <w:pPr>
              <w:pStyle w:val="BodyText"/>
              <w:jc w:val="center"/>
              <w:rPr>
                <w:sz w:val="20"/>
              </w:rPr>
            </w:pPr>
            <w:r w:rsidRPr="00C22471">
              <w:rPr>
                <w:sz w:val="20"/>
              </w:rPr>
              <w:t>1.</w:t>
            </w:r>
            <w:r>
              <w:rPr>
                <w:sz w:val="20"/>
              </w:rPr>
              <w:t>30</w:t>
            </w:r>
          </w:p>
        </w:tc>
        <w:tc>
          <w:tcPr>
            <w:tcW w:w="1113" w:type="dxa"/>
            <w:tcBorders>
              <w:top w:val="nil"/>
              <w:left w:val="nil"/>
              <w:bottom w:val="nil"/>
              <w:right w:val="nil"/>
            </w:tcBorders>
          </w:tcPr>
          <w:p w:rsidR="002D7F4A" w:rsidRPr="00C22471" w:rsidRDefault="002D7F4A" w:rsidP="002D7F4A">
            <w:pPr>
              <w:pStyle w:val="BodyText"/>
              <w:jc w:val="center"/>
              <w:rPr>
                <w:sz w:val="20"/>
              </w:rPr>
            </w:pPr>
            <w:r>
              <w:rPr>
                <w:sz w:val="20"/>
              </w:rPr>
              <w:t>2.30</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3.30</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4.05</w:t>
            </w:r>
          </w:p>
        </w:tc>
        <w:tc>
          <w:tcPr>
            <w:tcW w:w="1114" w:type="dxa"/>
            <w:tcBorders>
              <w:top w:val="nil"/>
              <w:left w:val="nil"/>
              <w:bottom w:val="nil"/>
            </w:tcBorders>
          </w:tcPr>
          <w:p w:rsidR="002D7F4A" w:rsidRPr="00C22471" w:rsidRDefault="002D7F4A" w:rsidP="002D7F4A">
            <w:pPr>
              <w:pStyle w:val="BodyText"/>
              <w:jc w:val="center"/>
              <w:rPr>
                <w:sz w:val="20"/>
              </w:rPr>
            </w:pPr>
            <w:r>
              <w:rPr>
                <w:sz w:val="20"/>
              </w:rPr>
              <w:t>4.05</w:t>
            </w:r>
          </w:p>
        </w:tc>
      </w:tr>
      <w:tr w:rsidR="002D7F4A" w:rsidRPr="00284EC1" w:rsidTr="002D7F4A">
        <w:tc>
          <w:tcPr>
            <w:tcW w:w="1384" w:type="dxa"/>
            <w:tcBorders>
              <w:top w:val="nil"/>
              <w:bottom w:val="nil"/>
              <w:right w:val="nil"/>
            </w:tcBorders>
          </w:tcPr>
          <w:p w:rsidR="002D7F4A" w:rsidRPr="00044FFD" w:rsidRDefault="002D7F4A" w:rsidP="002D7F4A">
            <w:pPr>
              <w:pStyle w:val="BodyText"/>
              <w:rPr>
                <w:b/>
                <w:bCs/>
                <w:color w:val="000000"/>
                <w:sz w:val="20"/>
              </w:rPr>
            </w:pPr>
            <w:r w:rsidRPr="00044FFD">
              <w:rPr>
                <w:b/>
                <w:bCs/>
                <w:color w:val="000000"/>
                <w:sz w:val="20"/>
              </w:rPr>
              <w:t>Dec 16</w:t>
            </w:r>
          </w:p>
        </w:tc>
        <w:tc>
          <w:tcPr>
            <w:tcW w:w="1113" w:type="dxa"/>
            <w:tcBorders>
              <w:top w:val="nil"/>
              <w:left w:val="nil"/>
              <w:bottom w:val="nil"/>
              <w:right w:val="nil"/>
            </w:tcBorders>
          </w:tcPr>
          <w:p w:rsidR="002D7F4A" w:rsidRPr="00C22471" w:rsidRDefault="002D7F4A" w:rsidP="002D7F4A">
            <w:pPr>
              <w:jc w:val="center"/>
              <w:rPr>
                <w:color w:val="000000"/>
                <w:sz w:val="20"/>
              </w:rPr>
            </w:pPr>
            <w:r>
              <w:rPr>
                <w:color w:val="000000"/>
                <w:sz w:val="20"/>
              </w:rPr>
              <w:t>0.50</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0.80</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1.40</w:t>
            </w:r>
          </w:p>
        </w:tc>
        <w:tc>
          <w:tcPr>
            <w:tcW w:w="1113" w:type="dxa"/>
            <w:tcBorders>
              <w:top w:val="nil"/>
              <w:left w:val="nil"/>
              <w:bottom w:val="nil"/>
              <w:right w:val="nil"/>
            </w:tcBorders>
          </w:tcPr>
          <w:p w:rsidR="002D7F4A" w:rsidRPr="00C22471" w:rsidRDefault="002D7F4A" w:rsidP="002D7F4A">
            <w:pPr>
              <w:pStyle w:val="BodyText"/>
              <w:jc w:val="center"/>
              <w:rPr>
                <w:sz w:val="20"/>
              </w:rPr>
            </w:pPr>
            <w:r>
              <w:rPr>
                <w:sz w:val="20"/>
              </w:rPr>
              <w:t>2.50</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3.50</w:t>
            </w:r>
          </w:p>
        </w:tc>
        <w:tc>
          <w:tcPr>
            <w:tcW w:w="1114" w:type="dxa"/>
            <w:tcBorders>
              <w:top w:val="nil"/>
              <w:left w:val="nil"/>
              <w:bottom w:val="nil"/>
              <w:right w:val="nil"/>
            </w:tcBorders>
          </w:tcPr>
          <w:p w:rsidR="002D7F4A" w:rsidRPr="00C22471" w:rsidRDefault="002D7F4A" w:rsidP="002D7F4A">
            <w:pPr>
              <w:pStyle w:val="BodyText"/>
              <w:jc w:val="center"/>
              <w:rPr>
                <w:sz w:val="20"/>
              </w:rPr>
            </w:pPr>
            <w:r>
              <w:rPr>
                <w:sz w:val="20"/>
              </w:rPr>
              <w:t>4.15</w:t>
            </w:r>
          </w:p>
        </w:tc>
        <w:tc>
          <w:tcPr>
            <w:tcW w:w="1114" w:type="dxa"/>
            <w:tcBorders>
              <w:top w:val="nil"/>
              <w:left w:val="nil"/>
              <w:bottom w:val="nil"/>
            </w:tcBorders>
          </w:tcPr>
          <w:p w:rsidR="002D7F4A" w:rsidRPr="00C22471" w:rsidRDefault="002D7F4A" w:rsidP="002D7F4A">
            <w:pPr>
              <w:pStyle w:val="BodyText"/>
              <w:jc w:val="center"/>
              <w:rPr>
                <w:sz w:val="20"/>
              </w:rPr>
            </w:pPr>
            <w:r>
              <w:rPr>
                <w:sz w:val="20"/>
              </w:rPr>
              <w:t>4.15</w:t>
            </w:r>
          </w:p>
        </w:tc>
      </w:tr>
      <w:tr w:rsidR="002D7F4A" w:rsidRPr="00284EC1" w:rsidTr="002D7F4A">
        <w:tc>
          <w:tcPr>
            <w:tcW w:w="1384" w:type="dxa"/>
            <w:tcBorders>
              <w:top w:val="nil"/>
              <w:right w:val="nil"/>
            </w:tcBorders>
          </w:tcPr>
          <w:p w:rsidR="002D7F4A" w:rsidRPr="00044FFD" w:rsidRDefault="002D7F4A" w:rsidP="002D7F4A">
            <w:pPr>
              <w:pStyle w:val="BodyText"/>
              <w:rPr>
                <w:b/>
                <w:bCs/>
                <w:color w:val="000000"/>
                <w:sz w:val="20"/>
              </w:rPr>
            </w:pPr>
            <w:r w:rsidRPr="00044FFD">
              <w:rPr>
                <w:b/>
                <w:bCs/>
                <w:color w:val="000000"/>
                <w:sz w:val="20"/>
              </w:rPr>
              <w:t>Mar 17</w:t>
            </w:r>
          </w:p>
        </w:tc>
        <w:tc>
          <w:tcPr>
            <w:tcW w:w="1113" w:type="dxa"/>
            <w:tcBorders>
              <w:top w:val="nil"/>
              <w:left w:val="nil"/>
              <w:right w:val="nil"/>
            </w:tcBorders>
          </w:tcPr>
          <w:p w:rsidR="002D7F4A" w:rsidRPr="00C22471" w:rsidRDefault="002D7F4A" w:rsidP="002D7F4A">
            <w:pPr>
              <w:jc w:val="center"/>
              <w:rPr>
                <w:color w:val="000000"/>
                <w:sz w:val="20"/>
              </w:rPr>
            </w:pPr>
            <w:r>
              <w:rPr>
                <w:color w:val="000000"/>
                <w:sz w:val="20"/>
              </w:rPr>
              <w:t>0.50</w:t>
            </w:r>
          </w:p>
        </w:tc>
        <w:tc>
          <w:tcPr>
            <w:tcW w:w="1114" w:type="dxa"/>
            <w:tcBorders>
              <w:top w:val="nil"/>
              <w:left w:val="nil"/>
              <w:right w:val="nil"/>
            </w:tcBorders>
          </w:tcPr>
          <w:p w:rsidR="002D7F4A" w:rsidRPr="00C22471" w:rsidRDefault="002D7F4A" w:rsidP="002D7F4A">
            <w:pPr>
              <w:pStyle w:val="BodyText"/>
              <w:jc w:val="center"/>
              <w:rPr>
                <w:sz w:val="20"/>
              </w:rPr>
            </w:pPr>
            <w:r>
              <w:rPr>
                <w:sz w:val="20"/>
              </w:rPr>
              <w:t>0.80</w:t>
            </w:r>
          </w:p>
        </w:tc>
        <w:tc>
          <w:tcPr>
            <w:tcW w:w="1114" w:type="dxa"/>
            <w:tcBorders>
              <w:top w:val="nil"/>
              <w:left w:val="nil"/>
              <w:right w:val="nil"/>
            </w:tcBorders>
          </w:tcPr>
          <w:p w:rsidR="002D7F4A" w:rsidRPr="00C22471" w:rsidRDefault="002D7F4A" w:rsidP="002D7F4A">
            <w:pPr>
              <w:pStyle w:val="BodyText"/>
              <w:jc w:val="center"/>
              <w:rPr>
                <w:sz w:val="20"/>
              </w:rPr>
            </w:pPr>
            <w:r>
              <w:rPr>
                <w:sz w:val="20"/>
              </w:rPr>
              <w:t>1.40</w:t>
            </w:r>
          </w:p>
        </w:tc>
        <w:tc>
          <w:tcPr>
            <w:tcW w:w="1113" w:type="dxa"/>
            <w:tcBorders>
              <w:top w:val="nil"/>
              <w:left w:val="nil"/>
              <w:bottom w:val="single" w:sz="4" w:space="0" w:color="auto"/>
              <w:right w:val="nil"/>
            </w:tcBorders>
          </w:tcPr>
          <w:p w:rsidR="002D7F4A" w:rsidRPr="00C22471" w:rsidRDefault="002D7F4A" w:rsidP="002D7F4A">
            <w:pPr>
              <w:pStyle w:val="BodyText"/>
              <w:jc w:val="center"/>
              <w:rPr>
                <w:sz w:val="20"/>
              </w:rPr>
            </w:pPr>
            <w:r>
              <w:rPr>
                <w:sz w:val="20"/>
              </w:rPr>
              <w:t>2.50</w:t>
            </w:r>
          </w:p>
        </w:tc>
        <w:tc>
          <w:tcPr>
            <w:tcW w:w="1114" w:type="dxa"/>
            <w:tcBorders>
              <w:top w:val="nil"/>
              <w:left w:val="nil"/>
              <w:right w:val="nil"/>
            </w:tcBorders>
          </w:tcPr>
          <w:p w:rsidR="002D7F4A" w:rsidRPr="00C22471" w:rsidRDefault="002D7F4A" w:rsidP="002D7F4A">
            <w:pPr>
              <w:pStyle w:val="BodyText"/>
              <w:jc w:val="center"/>
              <w:rPr>
                <w:sz w:val="20"/>
              </w:rPr>
            </w:pPr>
            <w:r>
              <w:rPr>
                <w:sz w:val="20"/>
              </w:rPr>
              <w:t>3.50</w:t>
            </w:r>
          </w:p>
        </w:tc>
        <w:tc>
          <w:tcPr>
            <w:tcW w:w="1114" w:type="dxa"/>
            <w:tcBorders>
              <w:top w:val="nil"/>
              <w:left w:val="nil"/>
              <w:right w:val="nil"/>
            </w:tcBorders>
          </w:tcPr>
          <w:p w:rsidR="002D7F4A" w:rsidRPr="00C22471" w:rsidRDefault="002D7F4A" w:rsidP="002D7F4A">
            <w:pPr>
              <w:pStyle w:val="BodyText"/>
              <w:jc w:val="center"/>
              <w:rPr>
                <w:sz w:val="20"/>
              </w:rPr>
            </w:pPr>
            <w:r>
              <w:rPr>
                <w:sz w:val="20"/>
              </w:rPr>
              <w:t>4.15</w:t>
            </w:r>
          </w:p>
        </w:tc>
        <w:tc>
          <w:tcPr>
            <w:tcW w:w="1114" w:type="dxa"/>
            <w:tcBorders>
              <w:top w:val="nil"/>
              <w:left w:val="nil"/>
            </w:tcBorders>
          </w:tcPr>
          <w:p w:rsidR="002D7F4A" w:rsidRPr="00C22471" w:rsidRDefault="002D7F4A" w:rsidP="002D7F4A">
            <w:pPr>
              <w:pStyle w:val="BodyText"/>
              <w:jc w:val="center"/>
              <w:rPr>
                <w:sz w:val="20"/>
              </w:rPr>
            </w:pPr>
            <w:r>
              <w:rPr>
                <w:sz w:val="20"/>
              </w:rPr>
              <w:t>4.15</w:t>
            </w:r>
          </w:p>
        </w:tc>
      </w:tr>
    </w:tbl>
    <w:p w:rsidR="002D7F4A" w:rsidRPr="0007216A" w:rsidRDefault="002D7F4A" w:rsidP="002D7F4A">
      <w:pPr>
        <w:pStyle w:val="BodyText"/>
        <w:jc w:val="both"/>
      </w:pPr>
    </w:p>
    <w:p w:rsidR="00B474FF" w:rsidRDefault="002D7F4A" w:rsidP="002D7F4A">
      <w:pPr>
        <w:jc w:val="both"/>
      </w:pPr>
      <w:r>
        <w:t>In the above table 'bank rate' refers to the policy rate of the Bank of England.</w:t>
      </w:r>
    </w:p>
    <w:p w:rsidR="002D7F4A" w:rsidRDefault="002D7F4A" w:rsidP="002D7F4A">
      <w:pPr>
        <w:jc w:val="both"/>
      </w:pPr>
      <w:r>
        <w:t xml:space="preserve"> </w:t>
      </w:r>
    </w:p>
    <w:p w:rsidR="002D7F4A" w:rsidRDefault="002D7F4A" w:rsidP="002D7F4A">
      <w:pPr>
        <w:jc w:val="both"/>
      </w:pPr>
      <w:r>
        <w:t xml:space="preserve">'LIBID' is the London Interbank bid rate and can be used as a proxy for short term market interest rates. PWLB borrowing rates are based on 'Gilt Yield' and so this is a forecast of long term interest rates. The Council can borrow at 80 basis points above the gilt yield, so for example the current fixed interest rate to borrow funds from the PWLB over a </w:t>
      </w:r>
      <w:r w:rsidR="008935ED">
        <w:t>25 year</w:t>
      </w:r>
      <w:r>
        <w:t xml:space="preserve"> period would be </w:t>
      </w:r>
      <w:r w:rsidR="008935ED">
        <w:t>3.25% + 0.80% = 4.05</w:t>
      </w:r>
      <w:r>
        <w:t xml:space="preserve">%. </w:t>
      </w:r>
    </w:p>
    <w:p w:rsidR="000A7B0E" w:rsidRPr="001143BB" w:rsidRDefault="000A7B0E" w:rsidP="000E0C11">
      <w:pPr>
        <w:pStyle w:val="BodyText"/>
        <w:jc w:val="both"/>
        <w:rPr>
          <w:highlight w:val="yellow"/>
        </w:rPr>
      </w:pPr>
      <w:r w:rsidRPr="00E15A53">
        <w:rPr>
          <w:b/>
        </w:rPr>
        <w:t xml:space="preserve">           </w:t>
      </w:r>
      <w:r w:rsidRPr="001143BB">
        <w:rPr>
          <w:b/>
          <w:highlight w:val="yellow"/>
        </w:rPr>
        <w:t xml:space="preserve">                                       </w:t>
      </w:r>
    </w:p>
    <w:p w:rsidR="000A7B0E" w:rsidRPr="000577C2" w:rsidRDefault="000A7B0E" w:rsidP="000A7B0E">
      <w:pPr>
        <w:jc w:val="both"/>
      </w:pPr>
      <w:r w:rsidRPr="000577C2">
        <w:t xml:space="preserve">This forecast </w:t>
      </w:r>
      <w:r w:rsidR="00585345">
        <w:t xml:space="preserve">of interest rates </w:t>
      </w:r>
      <w:r w:rsidRPr="000577C2">
        <w:t xml:space="preserve">has been based on the following underlying </w:t>
      </w:r>
      <w:r w:rsidR="00585345">
        <w:t xml:space="preserve">factors and </w:t>
      </w:r>
      <w:r w:rsidRPr="000577C2">
        <w:t>assumptions:</w:t>
      </w:r>
    </w:p>
    <w:p w:rsidR="000A7B0E" w:rsidRPr="000577C2" w:rsidRDefault="000A7B0E" w:rsidP="000A7B0E">
      <w:pPr>
        <w:jc w:val="both"/>
      </w:pPr>
    </w:p>
    <w:p w:rsidR="000A2B50" w:rsidRPr="000577C2" w:rsidRDefault="000A2B50" w:rsidP="000A2B50">
      <w:pPr>
        <w:pStyle w:val="ListParagraph"/>
        <w:numPr>
          <w:ilvl w:val="0"/>
          <w:numId w:val="19"/>
        </w:numPr>
        <w:spacing w:after="120" w:line="276" w:lineRule="auto"/>
        <w:ind w:left="426" w:hanging="426"/>
        <w:jc w:val="both"/>
        <w:rPr>
          <w:szCs w:val="20"/>
        </w:rPr>
      </w:pPr>
      <w:r w:rsidRPr="000577C2">
        <w:rPr>
          <w:szCs w:val="20"/>
        </w:rPr>
        <w:t>Growth continues to strengthen with the second estimate for Q3 growth coming in at an unrevised 0.8%. The service sector remains the main driver of growth, boosted by a contribution from construction.</w:t>
      </w:r>
    </w:p>
    <w:p w:rsidR="000A2B50" w:rsidRPr="000577C2" w:rsidRDefault="000A2B50" w:rsidP="000A2B50">
      <w:pPr>
        <w:pStyle w:val="ListParagraph"/>
        <w:numPr>
          <w:ilvl w:val="0"/>
          <w:numId w:val="19"/>
        </w:numPr>
        <w:spacing w:after="120" w:line="276" w:lineRule="auto"/>
        <w:ind w:left="426" w:hanging="426"/>
        <w:jc w:val="both"/>
        <w:rPr>
          <w:szCs w:val="20"/>
        </w:rPr>
      </w:pPr>
      <w:r w:rsidRPr="000577C2">
        <w:rPr>
          <w:szCs w:val="20"/>
        </w:rPr>
        <w:t xml:space="preserve">The unemployment rate has fallen to 7.6%. The pace of decline in this measure will be dependent on a slower expansion of the workforce than the acceleration in the economy, alongside the extent of productivity. </w:t>
      </w:r>
    </w:p>
    <w:p w:rsidR="000A2B50" w:rsidRPr="000577C2" w:rsidRDefault="000A2B50" w:rsidP="000A2B50">
      <w:pPr>
        <w:pStyle w:val="ListParagraph"/>
        <w:numPr>
          <w:ilvl w:val="0"/>
          <w:numId w:val="19"/>
        </w:numPr>
        <w:spacing w:after="120" w:line="276" w:lineRule="auto"/>
        <w:ind w:left="426" w:hanging="426"/>
        <w:jc w:val="both"/>
        <w:rPr>
          <w:szCs w:val="20"/>
        </w:rPr>
      </w:pPr>
      <w:r w:rsidRPr="000577C2">
        <w:rPr>
          <w:szCs w:val="20"/>
        </w:rPr>
        <w:t xml:space="preserve">The CPI for November has fallen to 2.1%, a much more comfortable position for the MPC. Utility price increases are expected to keep CPI above the 2% target in 2014, before falling back again. </w:t>
      </w:r>
    </w:p>
    <w:p w:rsidR="000A2B50" w:rsidRPr="000577C2" w:rsidRDefault="000A2B50" w:rsidP="000A2B50">
      <w:pPr>
        <w:pStyle w:val="ListParagraph"/>
        <w:numPr>
          <w:ilvl w:val="0"/>
          <w:numId w:val="19"/>
        </w:numPr>
        <w:spacing w:after="120" w:line="276" w:lineRule="auto"/>
        <w:ind w:left="426" w:hanging="426"/>
        <w:jc w:val="both"/>
        <w:rPr>
          <w:szCs w:val="20"/>
        </w:rPr>
      </w:pPr>
      <w:r w:rsidRPr="000577C2">
        <w:rPr>
          <w:szCs w:val="20"/>
        </w:rPr>
        <w:t xml:space="preserve">The principal measure in the MPC’s Forward Guidance on interest rates is the Labour Force Survey (LFS) unemployment rate. </w:t>
      </w:r>
      <w:r w:rsidRPr="000577C2">
        <w:rPr>
          <w:szCs w:val="20"/>
          <w:lang w:val="en-US"/>
        </w:rPr>
        <w:t xml:space="preserve">The MPC intends not to </w:t>
      </w:r>
      <w:r w:rsidR="00E27637">
        <w:rPr>
          <w:szCs w:val="20"/>
          <w:lang w:val="en-US"/>
        </w:rPr>
        <w:t xml:space="preserve">consider </w:t>
      </w:r>
      <w:r w:rsidRPr="000577C2">
        <w:rPr>
          <w:szCs w:val="20"/>
          <w:lang w:val="en-US"/>
        </w:rPr>
        <w:t>rais</w:t>
      </w:r>
      <w:r w:rsidR="00E27637">
        <w:rPr>
          <w:szCs w:val="20"/>
          <w:lang w:val="en-US"/>
        </w:rPr>
        <w:t>ing</w:t>
      </w:r>
      <w:r w:rsidRPr="000577C2">
        <w:rPr>
          <w:szCs w:val="20"/>
          <w:lang w:val="en-US"/>
        </w:rPr>
        <w:t xml:space="preserve"> the Bank Rate from its current level of 0.5% at least until this rate has fallen to a threshold of 7%.</w:t>
      </w:r>
    </w:p>
    <w:p w:rsidR="000A2B50" w:rsidRPr="000577C2" w:rsidRDefault="000A2B50" w:rsidP="000A2B50">
      <w:pPr>
        <w:pStyle w:val="ListParagraph"/>
        <w:numPr>
          <w:ilvl w:val="0"/>
          <w:numId w:val="19"/>
        </w:numPr>
        <w:spacing w:after="120" w:line="276" w:lineRule="auto"/>
        <w:ind w:left="426" w:hanging="426"/>
        <w:jc w:val="both"/>
        <w:rPr>
          <w:szCs w:val="20"/>
        </w:rPr>
      </w:pPr>
      <w:r w:rsidRPr="000577C2">
        <w:rPr>
          <w:szCs w:val="20"/>
        </w:rPr>
        <w:t>The reduction in uncertainty and easing of credit conditions have begun to unlock demand, much of which has fed through to the housing market.  In response to concerns over a house price bubble, the Bank of England announced a curtailment of the Funding for Lending Scheme</w:t>
      </w:r>
      <w:r w:rsidR="008935ED">
        <w:rPr>
          <w:szCs w:val="20"/>
        </w:rPr>
        <w:t xml:space="preserve"> (FLS)</w:t>
      </w:r>
      <w:r w:rsidRPr="000577C2">
        <w:rPr>
          <w:szCs w:val="20"/>
        </w:rPr>
        <w:t>, which will henceforth concentrate on business lending only.</w:t>
      </w:r>
    </w:p>
    <w:p w:rsidR="000A2B50" w:rsidRPr="000577C2" w:rsidRDefault="000A2B50" w:rsidP="000A2B50">
      <w:pPr>
        <w:pStyle w:val="ListParagraph"/>
        <w:numPr>
          <w:ilvl w:val="0"/>
          <w:numId w:val="19"/>
        </w:numPr>
        <w:spacing w:after="120" w:line="276" w:lineRule="auto"/>
        <w:ind w:left="426" w:hanging="426"/>
        <w:jc w:val="both"/>
        <w:rPr>
          <w:szCs w:val="20"/>
        </w:rPr>
      </w:pPr>
      <w:r w:rsidRPr="000577C2">
        <w:rPr>
          <w:szCs w:val="20"/>
        </w:rPr>
        <w:t xml:space="preserve">The MPC will not hesitate to use macro prudential and regulatory tools to deal with emerging risks (such as curtailing the FLS). </w:t>
      </w:r>
      <w:r w:rsidR="00AE654D">
        <w:rPr>
          <w:szCs w:val="20"/>
        </w:rPr>
        <w:t xml:space="preserve">Apart from responding to extreme </w:t>
      </w:r>
      <w:r w:rsidRPr="000577C2">
        <w:rPr>
          <w:szCs w:val="20"/>
        </w:rPr>
        <w:t>risks to either price or financial stability, the MPC will only tighten policy when it is convinced about the sustained durability of economic growth.</w:t>
      </w:r>
    </w:p>
    <w:p w:rsidR="000A2B50" w:rsidRPr="000577C2" w:rsidRDefault="000A2B50" w:rsidP="000A2B50">
      <w:pPr>
        <w:pStyle w:val="ListParagraph"/>
        <w:numPr>
          <w:ilvl w:val="0"/>
          <w:numId w:val="19"/>
        </w:numPr>
        <w:spacing w:after="120" w:line="276" w:lineRule="auto"/>
        <w:ind w:left="426" w:hanging="426"/>
        <w:jc w:val="both"/>
        <w:rPr>
          <w:szCs w:val="20"/>
        </w:rPr>
      </w:pPr>
      <w:r w:rsidRPr="000577C2">
        <w:rPr>
          <w:szCs w:val="20"/>
        </w:rPr>
        <w:t>Federal Reserve monetary policy expectations - the slowing in the pace of asset purchases ('tapering') and the end of further asset purchases - will remain predominant drivers of the financial markets. Tapering of asset purchases will begin in Q1 2014. The US political deadlock over the debt ceiling will need resolving in Q1 2014.</w:t>
      </w:r>
    </w:p>
    <w:p w:rsidR="000A2B50" w:rsidRPr="000577C2" w:rsidRDefault="000A2B50" w:rsidP="000A2B50">
      <w:pPr>
        <w:pStyle w:val="ListParagraph"/>
        <w:numPr>
          <w:ilvl w:val="0"/>
          <w:numId w:val="19"/>
        </w:numPr>
        <w:spacing w:after="120" w:line="276" w:lineRule="auto"/>
        <w:ind w:left="426" w:hanging="426"/>
        <w:jc w:val="both"/>
        <w:rPr>
          <w:szCs w:val="20"/>
        </w:rPr>
      </w:pPr>
      <w:r w:rsidRPr="000577C2">
        <w:rPr>
          <w:szCs w:val="20"/>
        </w:rPr>
        <w:t xml:space="preserve">The European backstop mechanisms have lowered the risks of catastrophic meltdown. The slightly more stable economic environment at the aggregate Eurozone level could be undone by political risks and uncertainty in Italy, Spain and Portugal (doubts over longevity of their coalitions). The ECB has discussed </w:t>
      </w:r>
      <w:r w:rsidR="00AE654D">
        <w:rPr>
          <w:szCs w:val="20"/>
        </w:rPr>
        <w:t xml:space="preserve">plans for </w:t>
      </w:r>
      <w:r w:rsidRPr="000577C2">
        <w:rPr>
          <w:szCs w:val="20"/>
        </w:rPr>
        <w:t xml:space="preserve">a third </w:t>
      </w:r>
      <w:r w:rsidR="00AE654D">
        <w:rPr>
          <w:szCs w:val="20"/>
        </w:rPr>
        <w:t>long term refinancing operation (</w:t>
      </w:r>
      <w:r w:rsidRPr="000577C2">
        <w:rPr>
          <w:szCs w:val="20"/>
        </w:rPr>
        <w:t>LTRO</w:t>
      </w:r>
      <w:r w:rsidR="00AE654D">
        <w:rPr>
          <w:szCs w:val="20"/>
        </w:rPr>
        <w:t>)</w:t>
      </w:r>
      <w:r w:rsidRPr="000577C2">
        <w:rPr>
          <w:szCs w:val="20"/>
        </w:rPr>
        <w:t>, as credit conditions remain challenging for European banks.</w:t>
      </w:r>
    </w:p>
    <w:p w:rsidR="000A2B50" w:rsidRPr="00B474FF" w:rsidRDefault="000A2B50" w:rsidP="00B474FF">
      <w:pPr>
        <w:pStyle w:val="ListParagraph"/>
        <w:numPr>
          <w:ilvl w:val="0"/>
          <w:numId w:val="17"/>
        </w:numPr>
        <w:spacing w:after="120" w:line="276" w:lineRule="auto"/>
        <w:ind w:left="426" w:hanging="426"/>
        <w:jc w:val="both"/>
        <w:rPr>
          <w:szCs w:val="20"/>
        </w:rPr>
      </w:pPr>
      <w:r w:rsidRPr="000577C2">
        <w:rPr>
          <w:szCs w:val="20"/>
        </w:rPr>
        <w:t>China data has seen an improvement, easing markets fears. Chinese leaders have signalled possible monetary policy tightening</w:t>
      </w:r>
      <w:r w:rsidR="00E27637">
        <w:rPr>
          <w:szCs w:val="20"/>
        </w:rPr>
        <w:t>, but liquidity issues with the regional banks and local authorities may prove problematic.</w:t>
      </w:r>
    </w:p>
    <w:p w:rsidR="000A2B50" w:rsidRPr="000577C2" w:rsidRDefault="003651A7" w:rsidP="000A2B50">
      <w:pPr>
        <w:pStyle w:val="ListParagraph"/>
        <w:numPr>
          <w:ilvl w:val="0"/>
          <w:numId w:val="19"/>
        </w:numPr>
        <w:spacing w:after="120" w:line="276" w:lineRule="auto"/>
        <w:ind w:left="426" w:hanging="426"/>
        <w:jc w:val="both"/>
        <w:rPr>
          <w:color w:val="3333FF"/>
          <w:sz w:val="20"/>
          <w:szCs w:val="20"/>
        </w:rPr>
      </w:pPr>
      <w:r>
        <w:rPr>
          <w:szCs w:val="20"/>
        </w:rPr>
        <w:t>The o</w:t>
      </w:r>
      <w:r w:rsidR="000A2B50" w:rsidRPr="000577C2">
        <w:rPr>
          <w:szCs w:val="20"/>
        </w:rPr>
        <w:t xml:space="preserve">n-going regulatory reform and a focus on bail-in debt restructuring </w:t>
      </w:r>
      <w:proofErr w:type="gramStart"/>
      <w:r w:rsidR="000A2B50" w:rsidRPr="000577C2">
        <w:rPr>
          <w:szCs w:val="20"/>
        </w:rPr>
        <w:t>is</w:t>
      </w:r>
      <w:proofErr w:type="gramEnd"/>
      <w:r>
        <w:rPr>
          <w:szCs w:val="20"/>
        </w:rPr>
        <w:t xml:space="preserve"> </w:t>
      </w:r>
      <w:r w:rsidR="000A2B50" w:rsidRPr="000577C2">
        <w:rPr>
          <w:szCs w:val="20"/>
        </w:rPr>
        <w:t>likely to prolong banking sector deleveraging and maintain the corporate</w:t>
      </w:r>
      <w:r w:rsidR="000A2B50" w:rsidRPr="000577C2">
        <w:rPr>
          <w:sz w:val="20"/>
          <w:szCs w:val="20"/>
        </w:rPr>
        <w:t xml:space="preserve"> </w:t>
      </w:r>
      <w:r w:rsidR="000A2B50" w:rsidRPr="000577C2">
        <w:rPr>
          <w:szCs w:val="20"/>
        </w:rPr>
        <w:t>credit bottleneck</w:t>
      </w:r>
      <w:r w:rsidR="000A2B50" w:rsidRPr="000577C2">
        <w:rPr>
          <w:color w:val="3333FF"/>
          <w:sz w:val="20"/>
          <w:szCs w:val="20"/>
        </w:rPr>
        <w:t xml:space="preserve">. </w:t>
      </w:r>
    </w:p>
    <w:p w:rsidR="000E0C11" w:rsidRPr="001143BB" w:rsidRDefault="000E0C11" w:rsidP="000E0C11">
      <w:pPr>
        <w:pStyle w:val="ListParagraph"/>
        <w:ind w:left="0"/>
        <w:jc w:val="both"/>
        <w:rPr>
          <w:rFonts w:ascii="Trebuchet MS" w:hAnsi="Trebuchet MS"/>
          <w:sz w:val="20"/>
          <w:szCs w:val="20"/>
          <w:highlight w:val="yellow"/>
        </w:rPr>
      </w:pPr>
    </w:p>
    <w:p w:rsidR="000A7B0E" w:rsidRPr="00720AD0" w:rsidRDefault="008469E7" w:rsidP="008469E7">
      <w:pPr>
        <w:spacing w:after="200" w:line="276" w:lineRule="auto"/>
      </w:pPr>
      <w:r w:rsidRPr="00720AD0">
        <w:rPr>
          <w:bCs/>
          <w:i/>
        </w:rPr>
        <w:t>Impact of these factors on the Borrowing Strategy</w:t>
      </w:r>
    </w:p>
    <w:p w:rsidR="000A7B0E" w:rsidRPr="00720AD0" w:rsidRDefault="000A7B0E" w:rsidP="000F416A">
      <w:pPr>
        <w:jc w:val="both"/>
        <w:rPr>
          <w:lang w:val="en-US"/>
        </w:rPr>
      </w:pPr>
      <w:r w:rsidRPr="00720AD0">
        <w:rPr>
          <w:lang w:val="en-US"/>
        </w:rPr>
        <w:t xml:space="preserve">In view of the above forecast the </w:t>
      </w:r>
      <w:r w:rsidR="008469E7" w:rsidRPr="00720AD0">
        <w:rPr>
          <w:lang w:val="en-US"/>
        </w:rPr>
        <w:t>Council</w:t>
      </w:r>
      <w:r w:rsidRPr="00720AD0">
        <w:rPr>
          <w:lang w:val="en-US"/>
        </w:rPr>
        <w:t>'s borrowing strategy will be based upon the following information:-</w:t>
      </w:r>
    </w:p>
    <w:p w:rsidR="000A7B0E" w:rsidRDefault="00720AD0" w:rsidP="000F416A">
      <w:pPr>
        <w:spacing w:before="45" w:after="45"/>
        <w:jc w:val="both"/>
        <w:rPr>
          <w:lang w:val="en-US"/>
        </w:rPr>
      </w:pPr>
      <w:r w:rsidRPr="00720AD0">
        <w:rPr>
          <w:lang w:val="en-US"/>
        </w:rPr>
        <w:t>Despite the gradually improving economic outlook, t</w:t>
      </w:r>
      <w:r w:rsidR="000A7B0E" w:rsidRPr="00720AD0">
        <w:rPr>
          <w:lang w:val="en-US"/>
        </w:rPr>
        <w:t xml:space="preserve">he UK </w:t>
      </w:r>
      <w:r w:rsidRPr="00720AD0">
        <w:rPr>
          <w:lang w:val="en-US"/>
        </w:rPr>
        <w:t xml:space="preserve">still </w:t>
      </w:r>
      <w:r w:rsidR="000A7B0E" w:rsidRPr="00720AD0">
        <w:rPr>
          <w:lang w:val="en-US"/>
        </w:rPr>
        <w:t>remains in a</w:t>
      </w:r>
      <w:r w:rsidRPr="00720AD0">
        <w:rPr>
          <w:lang w:val="en-US"/>
        </w:rPr>
        <w:t xml:space="preserve"> relatively</w:t>
      </w:r>
      <w:r w:rsidR="000A7B0E" w:rsidRPr="00720AD0">
        <w:rPr>
          <w:lang w:val="en-US"/>
        </w:rPr>
        <w:t xml:space="preserve"> low growth situation</w:t>
      </w:r>
      <w:r w:rsidRPr="00720AD0">
        <w:rPr>
          <w:lang w:val="en-US"/>
        </w:rPr>
        <w:t>,</w:t>
      </w:r>
      <w:r w:rsidR="000A7B0E" w:rsidRPr="00720AD0">
        <w:rPr>
          <w:lang w:val="en-US"/>
        </w:rPr>
        <w:t xml:space="preserve"> with a</w:t>
      </w:r>
      <w:r w:rsidRPr="00720AD0">
        <w:rPr>
          <w:lang w:val="en-US"/>
        </w:rPr>
        <w:t xml:space="preserve"> continuing </w:t>
      </w:r>
      <w:r w:rsidR="000A7B0E" w:rsidRPr="00720AD0">
        <w:rPr>
          <w:lang w:val="en-US"/>
        </w:rPr>
        <w:t>tight fiscal and loose monetary policy approach</w:t>
      </w:r>
      <w:r w:rsidRPr="00720AD0">
        <w:rPr>
          <w:lang w:val="en-US"/>
        </w:rPr>
        <w:t>. I</w:t>
      </w:r>
      <w:r w:rsidR="000A7B0E" w:rsidRPr="00720AD0">
        <w:rPr>
          <w:lang w:val="en-US"/>
        </w:rPr>
        <w:t>t could be 2015 before</w:t>
      </w:r>
      <w:r w:rsidRPr="00720AD0">
        <w:rPr>
          <w:lang w:val="en-US"/>
        </w:rPr>
        <w:t xml:space="preserve"> there is a rise in </w:t>
      </w:r>
      <w:r w:rsidR="000A7B0E" w:rsidRPr="00720AD0">
        <w:rPr>
          <w:lang w:val="en-US"/>
        </w:rPr>
        <w:t>official UK interest rates</w:t>
      </w:r>
      <w:r w:rsidRPr="00720AD0">
        <w:rPr>
          <w:lang w:val="en-US"/>
        </w:rPr>
        <w:t xml:space="preserve"> and t</w:t>
      </w:r>
      <w:r w:rsidR="000A7B0E" w:rsidRPr="00720AD0">
        <w:rPr>
          <w:lang w:val="en-US"/>
        </w:rPr>
        <w:t>he UK</w:t>
      </w:r>
      <w:r w:rsidR="008469E7" w:rsidRPr="00720AD0">
        <w:rPr>
          <w:lang w:val="en-US"/>
        </w:rPr>
        <w:t>'</w:t>
      </w:r>
      <w:r w:rsidR="000A7B0E" w:rsidRPr="00720AD0">
        <w:rPr>
          <w:lang w:val="en-US"/>
        </w:rPr>
        <w:t xml:space="preserve">s safe haven status and minimal prospect of rate rises are expected to keep gilt yields </w:t>
      </w:r>
      <w:r w:rsidRPr="00720AD0">
        <w:rPr>
          <w:lang w:val="en-US"/>
        </w:rPr>
        <w:t xml:space="preserve">in check through </w:t>
      </w:r>
      <w:r w:rsidR="000A7B0E" w:rsidRPr="00720AD0">
        <w:rPr>
          <w:lang w:val="en-US"/>
        </w:rPr>
        <w:t xml:space="preserve">the near term. </w:t>
      </w:r>
      <w:r w:rsidRPr="00720AD0">
        <w:rPr>
          <w:lang w:val="en-US"/>
        </w:rPr>
        <w:t>However,</w:t>
      </w:r>
    </w:p>
    <w:p w:rsidR="00B474FF" w:rsidRPr="00720AD0" w:rsidRDefault="00B474FF" w:rsidP="000F416A">
      <w:pPr>
        <w:spacing w:before="45" w:after="45"/>
        <w:jc w:val="both"/>
      </w:pPr>
    </w:p>
    <w:p w:rsidR="00B27B53" w:rsidRDefault="000A7B0E">
      <w:pPr>
        <w:pStyle w:val="ListParagraph"/>
        <w:numPr>
          <w:ilvl w:val="0"/>
          <w:numId w:val="26"/>
        </w:numPr>
        <w:ind w:left="709" w:hanging="425"/>
        <w:jc w:val="both"/>
      </w:pPr>
      <w:r w:rsidRPr="00720AD0">
        <w:t>If it were felt that there was a significant risk of a sharp fall in long and short term rates, e.g. due to a marked increase of risks around relapse into recession or of risks of deflation, then long term borrowings will be postponed, and potential rescheduling from fixed rate funding into short term borrowing will be considered.</w:t>
      </w:r>
    </w:p>
    <w:p w:rsidR="00894308" w:rsidRPr="003651A7" w:rsidRDefault="000A7B0E" w:rsidP="00720AD0">
      <w:pPr>
        <w:pStyle w:val="ListParagraph"/>
        <w:numPr>
          <w:ilvl w:val="0"/>
          <w:numId w:val="22"/>
        </w:numPr>
        <w:contextualSpacing w:val="0"/>
        <w:jc w:val="both"/>
      </w:pPr>
      <w:r w:rsidRPr="00720AD0">
        <w:t xml:space="preserve">If it </w:t>
      </w:r>
      <w:r w:rsidR="00720AD0" w:rsidRPr="00720AD0">
        <w:t>became apparent</w:t>
      </w:r>
      <w:r w:rsidRPr="00720AD0">
        <w:t xml:space="preserve"> that there was a significant risk of a much sharper rise in long and short term rates than that currently forecast, perhaps arising from a greater than expected increase in world economic activity or a sudden increase in inflation risks, then the portfolio position will be re-appraised with the likely action that fixed rate funding will be drawn whilst interest rates were still relatively cheap</w:t>
      </w:r>
      <w:r w:rsidRPr="003651A7">
        <w:t>.</w:t>
      </w:r>
      <w:r w:rsidR="00894308" w:rsidRPr="003651A7">
        <w:rPr>
          <w:rFonts w:ascii="Trebuchet MS" w:hAnsi="Trebuchet MS"/>
        </w:rPr>
        <w:t xml:space="preserve"> </w:t>
      </w:r>
      <w:r w:rsidR="003651A7" w:rsidRPr="003651A7">
        <w:t>This approach is reflected in the Council's prudential indicators.</w:t>
      </w:r>
    </w:p>
    <w:p w:rsidR="00894308" w:rsidRPr="003651A7" w:rsidRDefault="00894308" w:rsidP="00F61C39">
      <w:pPr>
        <w:pStyle w:val="ListParagraph"/>
        <w:ind w:left="0"/>
        <w:contextualSpacing w:val="0"/>
        <w:jc w:val="both"/>
      </w:pPr>
    </w:p>
    <w:p w:rsidR="00894308" w:rsidRPr="00720AD0" w:rsidRDefault="00894308" w:rsidP="00894308">
      <w:pPr>
        <w:pStyle w:val="ListParagraph"/>
        <w:ind w:left="0"/>
        <w:contextualSpacing w:val="0"/>
        <w:jc w:val="both"/>
      </w:pPr>
      <w:r w:rsidRPr="00720AD0">
        <w:t>The Council’s chief objective when borrowing money is to strike an appropriately low risk balance between securing low interest costs and achieving cost certainty over the period</w:t>
      </w:r>
      <w:r w:rsidR="00B474FF">
        <w:t xml:space="preserve"> for which funds are required. </w:t>
      </w:r>
      <w:r w:rsidRPr="00720AD0">
        <w:t>The flexibility to renegotiate loans should the Authority’s long-term plans change is a secondary objective.</w:t>
      </w:r>
    </w:p>
    <w:p w:rsidR="00894308" w:rsidRPr="00720AD0" w:rsidRDefault="00894308" w:rsidP="00894308">
      <w:pPr>
        <w:pStyle w:val="ListParagraph"/>
        <w:ind w:left="0"/>
        <w:contextualSpacing w:val="0"/>
        <w:jc w:val="both"/>
      </w:pPr>
    </w:p>
    <w:p w:rsidR="005741FA" w:rsidRDefault="00894308" w:rsidP="00894308">
      <w:pPr>
        <w:jc w:val="both"/>
      </w:pPr>
      <w:r w:rsidRPr="00720AD0">
        <w:t>Given the significant cuts to public expenditure and in particular to local government funding, the</w:t>
      </w:r>
      <w:r w:rsidR="007F1A08" w:rsidRPr="007F1A08">
        <w:rPr>
          <w:rFonts w:ascii="Trebuchet MS" w:hAnsi="Trebuchet MS"/>
          <w:sz w:val="20"/>
          <w:szCs w:val="20"/>
        </w:rPr>
        <w:t xml:space="preserve"> </w:t>
      </w:r>
      <w:r w:rsidRPr="00720AD0">
        <w:t>Council’s borrowing strategy continues to address the key issue of affordability without compromising the longer-term stability of the debt portfolio. With short-term interest rates currently much lower than long-term rates, it is likely to be more cost effective in the short-term to either use internal resources, or to borrow short-term instead.  By doing so, the Council is able to reduce net borrowing costs (despite foregone investment income) and reduce overall treasury risk. Whilst such a strategy is most likely to be beneficial over the next year</w:t>
      </w:r>
      <w:r w:rsidR="00720AD0" w:rsidRPr="00720AD0">
        <w:t xml:space="preserve"> or so</w:t>
      </w:r>
      <w:r w:rsidRPr="00720AD0">
        <w:t xml:space="preserve"> as official interest rates remain low, it is unlikely to be sustained in the medium-term.  The benefits of internal borrowing will</w:t>
      </w:r>
      <w:r w:rsidR="00CA2568">
        <w:t xml:space="preserve"> be</w:t>
      </w:r>
      <w:r w:rsidRPr="00720AD0">
        <w:t xml:space="preserve"> monitored regularly against the potential for incurring additional costs by deferring borrowing into future years when long-term borrowing rates are forecast to rise.  Arlingclose will assist the Council with this ‘cost of carry’ and breakeven analysis. Its output may determine whether the Council borrows additional sums at long-term fixed rates in 2014/15 with a view to keeping future interest costs low, even if this causes additional cost in the short-term</w:t>
      </w:r>
      <w:r w:rsidR="00B97E6D">
        <w:t>, in order to protect the medium – long term financial interests of the Council.</w:t>
      </w:r>
    </w:p>
    <w:p w:rsidR="00B474FF" w:rsidRPr="00720AD0" w:rsidRDefault="00B474FF" w:rsidP="00894308">
      <w:pPr>
        <w:jc w:val="both"/>
      </w:pPr>
    </w:p>
    <w:p w:rsidR="00894308" w:rsidRDefault="00894308" w:rsidP="00894308">
      <w:pPr>
        <w:pStyle w:val="ListParagraph"/>
        <w:ind w:left="0"/>
        <w:contextualSpacing w:val="0"/>
        <w:jc w:val="both"/>
      </w:pPr>
      <w:r w:rsidRPr="00720AD0">
        <w:t>In addition, the Council may borrow short-term (normally for up to one month) to cover unexpected cash flow shortages.</w:t>
      </w:r>
    </w:p>
    <w:p w:rsidR="00B474FF" w:rsidRDefault="00B474FF" w:rsidP="00B474FF">
      <w:pPr>
        <w:spacing w:line="276" w:lineRule="auto"/>
        <w:rPr>
          <w:bCs/>
          <w:i/>
        </w:rPr>
      </w:pPr>
    </w:p>
    <w:p w:rsidR="00AD0E87" w:rsidRDefault="00AD0E87" w:rsidP="00B474FF">
      <w:pPr>
        <w:spacing w:line="276" w:lineRule="auto"/>
        <w:rPr>
          <w:bCs/>
          <w:i/>
        </w:rPr>
      </w:pPr>
      <w:r w:rsidRPr="00720AD0">
        <w:rPr>
          <w:bCs/>
          <w:i/>
        </w:rPr>
        <w:t>Impact of these factors on the Investment Strategy</w:t>
      </w:r>
    </w:p>
    <w:p w:rsidR="00B474FF" w:rsidRPr="00720AD0" w:rsidRDefault="00B474FF" w:rsidP="00B474FF">
      <w:pPr>
        <w:spacing w:line="276" w:lineRule="auto"/>
        <w:rPr>
          <w:bCs/>
          <w:i/>
        </w:rPr>
      </w:pPr>
    </w:p>
    <w:p w:rsidR="00AD0E87" w:rsidRPr="00720AD0" w:rsidRDefault="00AD0E87" w:rsidP="00B474FF">
      <w:pPr>
        <w:spacing w:after="200" w:line="276" w:lineRule="auto"/>
        <w:jc w:val="both"/>
        <w:rPr>
          <w:lang w:val="en-US"/>
        </w:rPr>
      </w:pPr>
      <w:r w:rsidRPr="00720AD0">
        <w:rPr>
          <w:lang w:val="en-US"/>
        </w:rPr>
        <w:t>In view of this the County Council's investment strategy will be based upon the following information</w:t>
      </w:r>
      <w:r w:rsidR="002D3D61" w:rsidRPr="00720AD0">
        <w:rPr>
          <w:lang w:val="en-US"/>
        </w:rPr>
        <w:t>:</w:t>
      </w:r>
      <w:r w:rsidRPr="00720AD0">
        <w:rPr>
          <w:b/>
          <w:bCs/>
        </w:rPr>
        <w:t xml:space="preserve"> </w:t>
      </w:r>
    </w:p>
    <w:p w:rsidR="00AD0E87" w:rsidRPr="00B97E6D" w:rsidRDefault="00AD0E87" w:rsidP="00B474FF">
      <w:pPr>
        <w:pStyle w:val="ListParagraph"/>
        <w:numPr>
          <w:ilvl w:val="0"/>
          <w:numId w:val="9"/>
        </w:numPr>
        <w:spacing w:after="200" w:line="276" w:lineRule="auto"/>
        <w:jc w:val="both"/>
        <w:rPr>
          <w:b/>
          <w:bCs/>
          <w:lang w:val="en-US"/>
        </w:rPr>
      </w:pPr>
      <w:r w:rsidRPr="00B97E6D">
        <w:rPr>
          <w:lang w:val="en-US"/>
        </w:rPr>
        <w:t xml:space="preserve">The continuing concerns in the financial markets over sovereign debt, particularly in the Eurozone are impacting negatively on the credit quality of bank counterparties, and the </w:t>
      </w:r>
      <w:r w:rsidR="002D3D61" w:rsidRPr="00B97E6D">
        <w:rPr>
          <w:lang w:val="en-US"/>
        </w:rPr>
        <w:t xml:space="preserve">County </w:t>
      </w:r>
      <w:r w:rsidRPr="00B97E6D">
        <w:rPr>
          <w:lang w:val="en-US"/>
        </w:rPr>
        <w:t xml:space="preserve">Council will therefore look to reduce the duration of its exposure to bank counterparties </w:t>
      </w:r>
      <w:r w:rsidR="00B97E6D" w:rsidRPr="00B97E6D">
        <w:rPr>
          <w:lang w:val="en-US"/>
        </w:rPr>
        <w:t>in general.</w:t>
      </w:r>
    </w:p>
    <w:p w:rsidR="00C2176F" w:rsidRPr="00043D64" w:rsidRDefault="000662B7" w:rsidP="00B474FF">
      <w:pPr>
        <w:pStyle w:val="ListParagraph"/>
        <w:numPr>
          <w:ilvl w:val="0"/>
          <w:numId w:val="9"/>
        </w:numPr>
        <w:spacing w:line="276" w:lineRule="auto"/>
        <w:jc w:val="both"/>
        <w:rPr>
          <w:b/>
          <w:bCs/>
          <w:lang w:val="en-US"/>
        </w:rPr>
      </w:pPr>
      <w:r w:rsidRPr="00B97E6D">
        <w:rPr>
          <w:bCs/>
          <w:lang w:val="en-US"/>
        </w:rPr>
        <w:t xml:space="preserve">Given the level of risk involved in dealing with bank counterparties the </w:t>
      </w:r>
      <w:r w:rsidR="002D3D61" w:rsidRPr="00B97E6D">
        <w:rPr>
          <w:bCs/>
          <w:lang w:val="en-US"/>
        </w:rPr>
        <w:t xml:space="preserve">County </w:t>
      </w:r>
      <w:r w:rsidRPr="00B97E6D">
        <w:rPr>
          <w:bCs/>
          <w:lang w:val="en-US"/>
        </w:rPr>
        <w:t>Council will look to diversify its portfolio further away from such counterparties while</w:t>
      </w:r>
      <w:r w:rsidRPr="00B97E6D">
        <w:rPr>
          <w:b/>
          <w:bCs/>
          <w:lang w:val="en-US"/>
        </w:rPr>
        <w:t xml:space="preserve"> </w:t>
      </w:r>
      <w:r w:rsidRPr="00043D64">
        <w:rPr>
          <w:bCs/>
          <w:lang w:val="en-US"/>
        </w:rPr>
        <w:t>maintaining the highest credit quality of counterparties.</w:t>
      </w:r>
    </w:p>
    <w:p w:rsidR="00B474FF" w:rsidRPr="00B474FF" w:rsidRDefault="00B474FF" w:rsidP="00B474FF">
      <w:pPr>
        <w:spacing w:line="276" w:lineRule="auto"/>
        <w:rPr>
          <w:b/>
          <w:bCs/>
          <w:lang w:val="en-US"/>
        </w:rPr>
      </w:pPr>
    </w:p>
    <w:p w:rsidR="004A19C1" w:rsidRPr="004B52FC" w:rsidRDefault="004B52FC" w:rsidP="004B52FC">
      <w:pPr>
        <w:pStyle w:val="ListParagraph"/>
        <w:numPr>
          <w:ilvl w:val="0"/>
          <w:numId w:val="34"/>
        </w:numPr>
        <w:spacing w:line="276" w:lineRule="auto"/>
        <w:rPr>
          <w:b/>
          <w:bCs/>
          <w:sz w:val="28"/>
          <w:szCs w:val="28"/>
          <w:lang w:val="en-US"/>
        </w:rPr>
      </w:pPr>
      <w:r w:rsidRPr="004B52FC">
        <w:rPr>
          <w:b/>
          <w:bCs/>
          <w:sz w:val="28"/>
          <w:szCs w:val="28"/>
          <w:lang w:val="en-US"/>
        </w:rPr>
        <w:t xml:space="preserve">The Annual </w:t>
      </w:r>
      <w:r w:rsidR="004A19C1" w:rsidRPr="004B52FC">
        <w:rPr>
          <w:b/>
          <w:bCs/>
          <w:sz w:val="28"/>
          <w:szCs w:val="28"/>
          <w:lang w:val="en-US"/>
        </w:rPr>
        <w:t>Borrowing Strategy</w:t>
      </w:r>
    </w:p>
    <w:p w:rsidR="00B474FF" w:rsidRDefault="00B474FF" w:rsidP="00C13F68">
      <w:pPr>
        <w:rPr>
          <w:bCs/>
          <w:i/>
          <w:lang w:val="en-US"/>
        </w:rPr>
      </w:pPr>
    </w:p>
    <w:p w:rsidR="00C13F68" w:rsidRPr="00043D64" w:rsidRDefault="00C13F68" w:rsidP="00C13F68">
      <w:pPr>
        <w:rPr>
          <w:bCs/>
          <w:i/>
          <w:lang w:val="en-US"/>
        </w:rPr>
      </w:pPr>
      <w:r w:rsidRPr="00043D64">
        <w:rPr>
          <w:bCs/>
          <w:i/>
          <w:lang w:val="en-US"/>
        </w:rPr>
        <w:t xml:space="preserve">The Level of the Approved Capital Programme – the Borrowing Requirement </w:t>
      </w:r>
    </w:p>
    <w:p w:rsidR="007C242E" w:rsidRPr="00043D64" w:rsidRDefault="007C242E" w:rsidP="00C13F68">
      <w:pPr>
        <w:rPr>
          <w:i/>
          <w:lang w:val="en-US"/>
        </w:rPr>
      </w:pPr>
    </w:p>
    <w:p w:rsidR="00C13F68" w:rsidRPr="00860EAE" w:rsidRDefault="00C13F68" w:rsidP="00B474FF">
      <w:pPr>
        <w:jc w:val="both"/>
      </w:pPr>
      <w:r w:rsidRPr="00043D64">
        <w:rPr>
          <w:lang w:val="en-US"/>
        </w:rPr>
        <w:t>The County Counci</w:t>
      </w:r>
      <w:r w:rsidRPr="00043D64">
        <w:rPr>
          <w:b/>
          <w:bCs/>
        </w:rPr>
        <w:t>l</w:t>
      </w:r>
      <w:r w:rsidRPr="00860EAE">
        <w:t>'s estimated borrowing requirement for financing the capital programme in the current and the next three years is as follows:</w:t>
      </w:r>
    </w:p>
    <w:p w:rsidR="00C13F68" w:rsidRPr="001143BB" w:rsidRDefault="00C13F68" w:rsidP="00C13F68">
      <w:pPr>
        <w:rPr>
          <w:highlight w:val="yellow"/>
        </w:rPr>
      </w:pPr>
    </w:p>
    <w:tbl>
      <w:tblPr>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1224"/>
        <w:gridCol w:w="1224"/>
        <w:gridCol w:w="1114"/>
        <w:gridCol w:w="1334"/>
      </w:tblGrid>
      <w:tr w:rsidR="00C13F68" w:rsidRPr="001143BB" w:rsidTr="00C13F68">
        <w:tc>
          <w:tcPr>
            <w:tcW w:w="3888" w:type="dxa"/>
            <w:tcBorders>
              <w:top w:val="single" w:sz="4" w:space="0" w:color="auto"/>
            </w:tcBorders>
          </w:tcPr>
          <w:p w:rsidR="00C13F68" w:rsidRPr="001143BB" w:rsidRDefault="00C13F68" w:rsidP="00C13F68">
            <w:pPr>
              <w:rPr>
                <w:highlight w:val="yellow"/>
              </w:rPr>
            </w:pPr>
          </w:p>
        </w:tc>
        <w:tc>
          <w:tcPr>
            <w:tcW w:w="1224" w:type="dxa"/>
            <w:tcBorders>
              <w:top w:val="single" w:sz="4" w:space="0" w:color="auto"/>
            </w:tcBorders>
          </w:tcPr>
          <w:p w:rsidR="00C13F68" w:rsidRPr="00860EAE" w:rsidRDefault="00C13F68" w:rsidP="00860EAE">
            <w:pPr>
              <w:jc w:val="right"/>
              <w:rPr>
                <w:b/>
                <w:bCs/>
              </w:rPr>
            </w:pPr>
            <w:r w:rsidRPr="00860EAE">
              <w:rPr>
                <w:b/>
                <w:bCs/>
              </w:rPr>
              <w:t>201</w:t>
            </w:r>
            <w:r w:rsidR="00860EAE" w:rsidRPr="00860EAE">
              <w:rPr>
                <w:b/>
                <w:bCs/>
              </w:rPr>
              <w:t>3</w:t>
            </w:r>
            <w:r w:rsidRPr="00860EAE">
              <w:rPr>
                <w:b/>
                <w:bCs/>
              </w:rPr>
              <w:t>/1</w:t>
            </w:r>
            <w:r w:rsidR="00860EAE" w:rsidRPr="00860EAE">
              <w:rPr>
                <w:b/>
                <w:bCs/>
              </w:rPr>
              <w:t>4</w:t>
            </w:r>
            <w:r w:rsidRPr="00860EAE">
              <w:rPr>
                <w:b/>
                <w:bCs/>
              </w:rPr>
              <w:t xml:space="preserve"> Revised</w:t>
            </w:r>
          </w:p>
        </w:tc>
        <w:tc>
          <w:tcPr>
            <w:tcW w:w="1224" w:type="dxa"/>
            <w:tcBorders>
              <w:top w:val="single" w:sz="4" w:space="0" w:color="auto"/>
            </w:tcBorders>
            <w:vAlign w:val="center"/>
          </w:tcPr>
          <w:p w:rsidR="00C13F68" w:rsidRPr="00860EAE" w:rsidRDefault="00C13F68" w:rsidP="00860EAE">
            <w:pPr>
              <w:jc w:val="right"/>
              <w:rPr>
                <w:b/>
                <w:bCs/>
              </w:rPr>
            </w:pPr>
            <w:r w:rsidRPr="00860EAE">
              <w:rPr>
                <w:b/>
                <w:bCs/>
              </w:rPr>
              <w:t>201</w:t>
            </w:r>
            <w:r w:rsidR="00860EAE" w:rsidRPr="00860EAE">
              <w:rPr>
                <w:b/>
                <w:bCs/>
              </w:rPr>
              <w:t>4</w:t>
            </w:r>
            <w:r w:rsidRPr="00860EAE">
              <w:rPr>
                <w:b/>
                <w:bCs/>
              </w:rPr>
              <w:t>/1</w:t>
            </w:r>
            <w:r w:rsidR="00860EAE" w:rsidRPr="00860EAE">
              <w:rPr>
                <w:b/>
                <w:bCs/>
              </w:rPr>
              <w:t>5</w:t>
            </w:r>
          </w:p>
        </w:tc>
        <w:tc>
          <w:tcPr>
            <w:tcW w:w="1114" w:type="dxa"/>
            <w:tcBorders>
              <w:top w:val="single" w:sz="4" w:space="0" w:color="auto"/>
            </w:tcBorders>
            <w:vAlign w:val="center"/>
          </w:tcPr>
          <w:p w:rsidR="00C13F68" w:rsidRPr="00860EAE" w:rsidRDefault="00C13F68" w:rsidP="00860EAE">
            <w:pPr>
              <w:jc w:val="right"/>
              <w:rPr>
                <w:b/>
                <w:bCs/>
              </w:rPr>
            </w:pPr>
            <w:r w:rsidRPr="00860EAE">
              <w:rPr>
                <w:b/>
                <w:bCs/>
              </w:rPr>
              <w:t>201</w:t>
            </w:r>
            <w:r w:rsidR="00860EAE" w:rsidRPr="00860EAE">
              <w:rPr>
                <w:b/>
                <w:bCs/>
              </w:rPr>
              <w:t>5</w:t>
            </w:r>
            <w:r w:rsidRPr="00860EAE">
              <w:rPr>
                <w:b/>
                <w:bCs/>
              </w:rPr>
              <w:t>/1</w:t>
            </w:r>
            <w:r w:rsidR="00860EAE" w:rsidRPr="00860EAE">
              <w:rPr>
                <w:b/>
                <w:bCs/>
              </w:rPr>
              <w:t>6</w:t>
            </w:r>
          </w:p>
        </w:tc>
        <w:tc>
          <w:tcPr>
            <w:tcW w:w="1334" w:type="dxa"/>
            <w:tcBorders>
              <w:top w:val="single" w:sz="4" w:space="0" w:color="auto"/>
            </w:tcBorders>
            <w:vAlign w:val="center"/>
          </w:tcPr>
          <w:p w:rsidR="00C13F68" w:rsidRPr="00860EAE" w:rsidRDefault="00C13F68" w:rsidP="00860EAE">
            <w:pPr>
              <w:jc w:val="right"/>
              <w:rPr>
                <w:b/>
                <w:bCs/>
              </w:rPr>
            </w:pPr>
            <w:r w:rsidRPr="00860EAE">
              <w:rPr>
                <w:b/>
                <w:bCs/>
              </w:rPr>
              <w:t>201</w:t>
            </w:r>
            <w:r w:rsidR="00860EAE" w:rsidRPr="00860EAE">
              <w:rPr>
                <w:b/>
                <w:bCs/>
              </w:rPr>
              <w:t>6</w:t>
            </w:r>
            <w:r w:rsidRPr="00860EAE">
              <w:rPr>
                <w:b/>
                <w:bCs/>
              </w:rPr>
              <w:t>/1</w:t>
            </w:r>
            <w:r w:rsidR="00860EAE" w:rsidRPr="00860EAE">
              <w:rPr>
                <w:b/>
                <w:bCs/>
              </w:rPr>
              <w:t>7</w:t>
            </w:r>
          </w:p>
        </w:tc>
      </w:tr>
      <w:tr w:rsidR="00C13F68" w:rsidRPr="001143BB" w:rsidTr="00C13F68">
        <w:tc>
          <w:tcPr>
            <w:tcW w:w="3888" w:type="dxa"/>
          </w:tcPr>
          <w:p w:rsidR="00C13F68" w:rsidRPr="001143BB" w:rsidRDefault="00C13F68" w:rsidP="00C13F68">
            <w:pPr>
              <w:spacing w:after="120"/>
              <w:rPr>
                <w:highlight w:val="yellow"/>
              </w:rPr>
            </w:pPr>
          </w:p>
        </w:tc>
        <w:tc>
          <w:tcPr>
            <w:tcW w:w="1224" w:type="dxa"/>
          </w:tcPr>
          <w:p w:rsidR="00C13F68" w:rsidRPr="00860EAE" w:rsidRDefault="00C13F68" w:rsidP="00C13F68">
            <w:pPr>
              <w:spacing w:after="120"/>
              <w:jc w:val="center"/>
              <w:rPr>
                <w:b/>
                <w:bCs/>
              </w:rPr>
            </w:pPr>
            <w:r w:rsidRPr="00860EAE">
              <w:rPr>
                <w:b/>
                <w:bCs/>
              </w:rPr>
              <w:t xml:space="preserve">   £m</w:t>
            </w:r>
          </w:p>
        </w:tc>
        <w:tc>
          <w:tcPr>
            <w:tcW w:w="1224" w:type="dxa"/>
          </w:tcPr>
          <w:p w:rsidR="00C13F68" w:rsidRPr="00860EAE" w:rsidRDefault="00C13F68" w:rsidP="00C13F68">
            <w:pPr>
              <w:spacing w:after="120"/>
              <w:jc w:val="center"/>
              <w:rPr>
                <w:b/>
                <w:bCs/>
              </w:rPr>
            </w:pPr>
            <w:r w:rsidRPr="00860EAE">
              <w:rPr>
                <w:b/>
                <w:bCs/>
              </w:rPr>
              <w:t xml:space="preserve">   £m</w:t>
            </w:r>
          </w:p>
        </w:tc>
        <w:tc>
          <w:tcPr>
            <w:tcW w:w="1114" w:type="dxa"/>
          </w:tcPr>
          <w:p w:rsidR="00C13F68" w:rsidRPr="00860EAE" w:rsidRDefault="00C13F68" w:rsidP="00C13F68">
            <w:pPr>
              <w:spacing w:after="120"/>
              <w:jc w:val="center"/>
              <w:rPr>
                <w:b/>
                <w:bCs/>
              </w:rPr>
            </w:pPr>
            <w:r w:rsidRPr="00860EAE">
              <w:rPr>
                <w:b/>
                <w:bCs/>
              </w:rPr>
              <w:t xml:space="preserve">  £m</w:t>
            </w:r>
          </w:p>
        </w:tc>
        <w:tc>
          <w:tcPr>
            <w:tcW w:w="1334" w:type="dxa"/>
          </w:tcPr>
          <w:p w:rsidR="00C13F68" w:rsidRPr="00860EAE" w:rsidRDefault="00C13F68" w:rsidP="00C13F68">
            <w:pPr>
              <w:spacing w:after="120"/>
              <w:jc w:val="center"/>
              <w:rPr>
                <w:b/>
                <w:bCs/>
              </w:rPr>
            </w:pPr>
            <w:r w:rsidRPr="00860EAE">
              <w:rPr>
                <w:b/>
                <w:bCs/>
              </w:rPr>
              <w:t xml:space="preserve">    £m</w:t>
            </w:r>
          </w:p>
        </w:tc>
      </w:tr>
      <w:tr w:rsidR="00C13F68" w:rsidRPr="001143BB" w:rsidTr="00C13F68">
        <w:tc>
          <w:tcPr>
            <w:tcW w:w="3888" w:type="dxa"/>
          </w:tcPr>
          <w:p w:rsidR="00C13F68" w:rsidRPr="00860EAE" w:rsidRDefault="00C13F68" w:rsidP="00C13F68">
            <w:pPr>
              <w:spacing w:after="240"/>
              <w:rPr>
                <w:b/>
              </w:rPr>
            </w:pPr>
            <w:r w:rsidRPr="00860EAE">
              <w:rPr>
                <w:b/>
              </w:rPr>
              <w:t>Capital Programme Expenditure</w:t>
            </w:r>
          </w:p>
        </w:tc>
        <w:tc>
          <w:tcPr>
            <w:tcW w:w="1224" w:type="dxa"/>
          </w:tcPr>
          <w:p w:rsidR="00C13F68" w:rsidRPr="00860EAE" w:rsidRDefault="008503CE" w:rsidP="00C13F68">
            <w:pPr>
              <w:jc w:val="right"/>
              <w:rPr>
                <w:b/>
              </w:rPr>
            </w:pPr>
            <w:r>
              <w:rPr>
                <w:b/>
              </w:rPr>
              <w:t>163.657</w:t>
            </w:r>
          </w:p>
        </w:tc>
        <w:tc>
          <w:tcPr>
            <w:tcW w:w="1224" w:type="dxa"/>
          </w:tcPr>
          <w:p w:rsidR="00C13F68" w:rsidRPr="00860EAE" w:rsidRDefault="008503CE" w:rsidP="002466E3">
            <w:pPr>
              <w:jc w:val="right"/>
              <w:rPr>
                <w:b/>
              </w:rPr>
            </w:pPr>
            <w:r>
              <w:rPr>
                <w:b/>
              </w:rPr>
              <w:t>204.733</w:t>
            </w:r>
          </w:p>
        </w:tc>
        <w:tc>
          <w:tcPr>
            <w:tcW w:w="1114" w:type="dxa"/>
          </w:tcPr>
          <w:p w:rsidR="00C13F68" w:rsidRPr="00860EAE" w:rsidRDefault="008503CE" w:rsidP="002466E3">
            <w:pPr>
              <w:jc w:val="right"/>
              <w:rPr>
                <w:b/>
              </w:rPr>
            </w:pPr>
            <w:r>
              <w:rPr>
                <w:b/>
              </w:rPr>
              <w:t>160.678</w:t>
            </w:r>
          </w:p>
        </w:tc>
        <w:tc>
          <w:tcPr>
            <w:tcW w:w="1334" w:type="dxa"/>
          </w:tcPr>
          <w:p w:rsidR="00C13F68" w:rsidRPr="00860EAE" w:rsidRDefault="008503CE" w:rsidP="00C13F68">
            <w:pPr>
              <w:jc w:val="right"/>
              <w:rPr>
                <w:b/>
              </w:rPr>
            </w:pPr>
            <w:r>
              <w:rPr>
                <w:b/>
              </w:rPr>
              <w:t>69.759</w:t>
            </w:r>
          </w:p>
        </w:tc>
      </w:tr>
      <w:tr w:rsidR="00C13F68" w:rsidRPr="001143BB" w:rsidTr="00C13F68">
        <w:tc>
          <w:tcPr>
            <w:tcW w:w="3888" w:type="dxa"/>
          </w:tcPr>
          <w:p w:rsidR="00C13F68" w:rsidRPr="00860EAE" w:rsidRDefault="00C13F68" w:rsidP="00C13F68">
            <w:pPr>
              <w:spacing w:after="240"/>
              <w:rPr>
                <w:i/>
              </w:rPr>
            </w:pPr>
            <w:r w:rsidRPr="00860EAE">
              <w:rPr>
                <w:i/>
              </w:rPr>
              <w:t>Financed by:</w:t>
            </w:r>
          </w:p>
          <w:p w:rsidR="00C13F68" w:rsidRPr="00860EAE" w:rsidRDefault="00C13F68" w:rsidP="00C13F68">
            <w:pPr>
              <w:spacing w:after="240"/>
            </w:pPr>
            <w:r w:rsidRPr="00860EAE">
              <w:t>Capital Receipts</w:t>
            </w:r>
          </w:p>
        </w:tc>
        <w:tc>
          <w:tcPr>
            <w:tcW w:w="1224" w:type="dxa"/>
          </w:tcPr>
          <w:p w:rsidR="00C13F68" w:rsidRPr="00860EAE" w:rsidRDefault="00C13F68" w:rsidP="00C13F68">
            <w:pPr>
              <w:jc w:val="right"/>
            </w:pPr>
          </w:p>
          <w:p w:rsidR="00C13F68" w:rsidRPr="00860EAE" w:rsidRDefault="00C13F68" w:rsidP="00C13F68">
            <w:pPr>
              <w:jc w:val="right"/>
            </w:pPr>
          </w:p>
          <w:p w:rsidR="00C13F68" w:rsidRPr="00860EAE" w:rsidRDefault="00860EAE" w:rsidP="00C13F68">
            <w:pPr>
              <w:jc w:val="right"/>
            </w:pPr>
            <w:r w:rsidRPr="00860EAE">
              <w:t>0.983</w:t>
            </w:r>
          </w:p>
        </w:tc>
        <w:tc>
          <w:tcPr>
            <w:tcW w:w="1224" w:type="dxa"/>
          </w:tcPr>
          <w:p w:rsidR="00C13F68" w:rsidRPr="00860EAE" w:rsidRDefault="00C13F68" w:rsidP="00C13F68">
            <w:pPr>
              <w:jc w:val="right"/>
            </w:pPr>
          </w:p>
          <w:p w:rsidR="00C13F68" w:rsidRPr="00860EAE" w:rsidRDefault="00C13F68" w:rsidP="00C13F68">
            <w:pPr>
              <w:jc w:val="right"/>
            </w:pPr>
          </w:p>
          <w:p w:rsidR="00C13F68" w:rsidRPr="00860EAE" w:rsidRDefault="008503CE" w:rsidP="00C13F68">
            <w:pPr>
              <w:jc w:val="right"/>
            </w:pPr>
            <w:r>
              <w:t>0</w:t>
            </w:r>
          </w:p>
        </w:tc>
        <w:tc>
          <w:tcPr>
            <w:tcW w:w="1114" w:type="dxa"/>
          </w:tcPr>
          <w:p w:rsidR="00C13F68" w:rsidRPr="00860EAE" w:rsidRDefault="00C13F68" w:rsidP="00C13F68">
            <w:pPr>
              <w:jc w:val="right"/>
            </w:pPr>
          </w:p>
          <w:p w:rsidR="00C13F68" w:rsidRPr="00860EAE" w:rsidRDefault="00C13F68" w:rsidP="00C13F68">
            <w:pPr>
              <w:jc w:val="right"/>
            </w:pPr>
          </w:p>
          <w:p w:rsidR="00C13F68" w:rsidRPr="00860EAE" w:rsidRDefault="008503CE" w:rsidP="00C13F68">
            <w:pPr>
              <w:jc w:val="right"/>
            </w:pPr>
            <w:r>
              <w:t>37.410</w:t>
            </w:r>
          </w:p>
        </w:tc>
        <w:tc>
          <w:tcPr>
            <w:tcW w:w="1334" w:type="dxa"/>
          </w:tcPr>
          <w:p w:rsidR="00C13F68" w:rsidRPr="00860EAE" w:rsidRDefault="00C13F68" w:rsidP="00C13F68">
            <w:pPr>
              <w:jc w:val="right"/>
            </w:pPr>
          </w:p>
          <w:p w:rsidR="00C13F68" w:rsidRPr="00860EAE" w:rsidRDefault="00C13F68" w:rsidP="00C13F68">
            <w:pPr>
              <w:jc w:val="right"/>
            </w:pPr>
          </w:p>
          <w:p w:rsidR="00C13F68" w:rsidRPr="00860EAE" w:rsidRDefault="00860EAE" w:rsidP="00C13F68">
            <w:pPr>
              <w:jc w:val="right"/>
            </w:pPr>
            <w:r w:rsidRPr="00860EAE">
              <w:t>10.567</w:t>
            </w:r>
          </w:p>
        </w:tc>
      </w:tr>
      <w:tr w:rsidR="00C13F68" w:rsidRPr="001143BB" w:rsidTr="00C13F68">
        <w:tc>
          <w:tcPr>
            <w:tcW w:w="3888" w:type="dxa"/>
          </w:tcPr>
          <w:p w:rsidR="00C13F68" w:rsidRPr="00860EAE" w:rsidRDefault="00C13F68" w:rsidP="00C13F68">
            <w:pPr>
              <w:spacing w:after="240"/>
            </w:pPr>
            <w:r w:rsidRPr="00860EAE">
              <w:t>Grants and Contributions</w:t>
            </w:r>
          </w:p>
        </w:tc>
        <w:tc>
          <w:tcPr>
            <w:tcW w:w="1224" w:type="dxa"/>
          </w:tcPr>
          <w:p w:rsidR="00C13F68" w:rsidRPr="00860EAE" w:rsidRDefault="008503CE" w:rsidP="00C13F68">
            <w:pPr>
              <w:jc w:val="right"/>
            </w:pPr>
            <w:r>
              <w:t>147.437</w:t>
            </w:r>
          </w:p>
        </w:tc>
        <w:tc>
          <w:tcPr>
            <w:tcW w:w="1224" w:type="dxa"/>
          </w:tcPr>
          <w:p w:rsidR="00C13F68" w:rsidRPr="00860EAE" w:rsidRDefault="008503CE" w:rsidP="00C13F68">
            <w:pPr>
              <w:jc w:val="right"/>
            </w:pPr>
            <w:r>
              <w:t>146.850</w:t>
            </w:r>
          </w:p>
        </w:tc>
        <w:tc>
          <w:tcPr>
            <w:tcW w:w="1114" w:type="dxa"/>
          </w:tcPr>
          <w:p w:rsidR="00C13F68" w:rsidRPr="00860EAE" w:rsidRDefault="008503CE" w:rsidP="00C13F68">
            <w:pPr>
              <w:jc w:val="right"/>
            </w:pPr>
            <w:r>
              <w:t>53.757</w:t>
            </w:r>
          </w:p>
        </w:tc>
        <w:tc>
          <w:tcPr>
            <w:tcW w:w="1334" w:type="dxa"/>
          </w:tcPr>
          <w:p w:rsidR="00C13F68" w:rsidRPr="00860EAE" w:rsidRDefault="008503CE" w:rsidP="00C13F68">
            <w:pPr>
              <w:jc w:val="right"/>
            </w:pPr>
            <w:r>
              <w:t>31.637</w:t>
            </w:r>
          </w:p>
        </w:tc>
      </w:tr>
      <w:tr w:rsidR="00C13F68" w:rsidRPr="001143BB" w:rsidTr="00C13F68">
        <w:tc>
          <w:tcPr>
            <w:tcW w:w="3888" w:type="dxa"/>
          </w:tcPr>
          <w:p w:rsidR="00C13F68" w:rsidRPr="00860EAE" w:rsidRDefault="00C13F68" w:rsidP="00C13F68">
            <w:pPr>
              <w:spacing w:after="240"/>
            </w:pPr>
            <w:r w:rsidRPr="00860EAE">
              <w:t>Revenue Contributions</w:t>
            </w:r>
          </w:p>
        </w:tc>
        <w:tc>
          <w:tcPr>
            <w:tcW w:w="1224" w:type="dxa"/>
          </w:tcPr>
          <w:p w:rsidR="00C13F68" w:rsidRPr="00860EAE" w:rsidRDefault="008503CE" w:rsidP="00C13F68">
            <w:pPr>
              <w:jc w:val="right"/>
            </w:pPr>
            <w:r>
              <w:t>13.337</w:t>
            </w:r>
          </w:p>
        </w:tc>
        <w:tc>
          <w:tcPr>
            <w:tcW w:w="1224" w:type="dxa"/>
          </w:tcPr>
          <w:p w:rsidR="00C13F68" w:rsidRPr="00860EAE" w:rsidRDefault="008503CE" w:rsidP="00C13F68">
            <w:pPr>
              <w:jc w:val="right"/>
            </w:pPr>
            <w:r>
              <w:t>14.001</w:t>
            </w:r>
          </w:p>
        </w:tc>
        <w:tc>
          <w:tcPr>
            <w:tcW w:w="1114" w:type="dxa"/>
          </w:tcPr>
          <w:p w:rsidR="00C13F68" w:rsidRPr="00860EAE" w:rsidRDefault="00860EAE" w:rsidP="00985A8A">
            <w:pPr>
              <w:jc w:val="right"/>
            </w:pPr>
            <w:r w:rsidRPr="00860EAE">
              <w:t>1.541</w:t>
            </w:r>
          </w:p>
        </w:tc>
        <w:tc>
          <w:tcPr>
            <w:tcW w:w="1334" w:type="dxa"/>
          </w:tcPr>
          <w:p w:rsidR="00C13F68" w:rsidRPr="00860EAE" w:rsidRDefault="00860EAE" w:rsidP="00C13F68">
            <w:pPr>
              <w:jc w:val="right"/>
            </w:pPr>
            <w:r w:rsidRPr="00860EAE">
              <w:t>0.232</w:t>
            </w:r>
          </w:p>
        </w:tc>
      </w:tr>
      <w:tr w:rsidR="00C13F68" w:rsidRPr="001143BB" w:rsidTr="00C13F68">
        <w:tc>
          <w:tcPr>
            <w:tcW w:w="3888" w:type="dxa"/>
          </w:tcPr>
          <w:p w:rsidR="00C13F68" w:rsidRPr="00860EAE" w:rsidRDefault="00C13F68" w:rsidP="00C13F68">
            <w:pPr>
              <w:spacing w:after="240"/>
              <w:rPr>
                <w:b/>
              </w:rPr>
            </w:pPr>
            <w:r w:rsidRPr="00860EAE">
              <w:rPr>
                <w:b/>
              </w:rPr>
              <w:t>Borrowing</w:t>
            </w:r>
          </w:p>
        </w:tc>
        <w:tc>
          <w:tcPr>
            <w:tcW w:w="1224" w:type="dxa"/>
          </w:tcPr>
          <w:p w:rsidR="00C13F68" w:rsidRPr="00860EAE" w:rsidRDefault="00860EAE" w:rsidP="00C13F68">
            <w:pPr>
              <w:jc w:val="right"/>
              <w:rPr>
                <w:b/>
              </w:rPr>
            </w:pPr>
            <w:r w:rsidRPr="00860EAE">
              <w:rPr>
                <w:b/>
              </w:rPr>
              <w:t>1.900</w:t>
            </w:r>
          </w:p>
        </w:tc>
        <w:tc>
          <w:tcPr>
            <w:tcW w:w="1224" w:type="dxa"/>
          </w:tcPr>
          <w:p w:rsidR="00C13F68" w:rsidRPr="00860EAE" w:rsidRDefault="008503CE" w:rsidP="00C13F68">
            <w:pPr>
              <w:jc w:val="right"/>
              <w:rPr>
                <w:b/>
              </w:rPr>
            </w:pPr>
            <w:r>
              <w:rPr>
                <w:b/>
              </w:rPr>
              <w:t>43.882</w:t>
            </w:r>
          </w:p>
        </w:tc>
        <w:tc>
          <w:tcPr>
            <w:tcW w:w="1114" w:type="dxa"/>
          </w:tcPr>
          <w:p w:rsidR="00C13F68" w:rsidRPr="00860EAE" w:rsidRDefault="008503CE" w:rsidP="00C13F68">
            <w:pPr>
              <w:jc w:val="right"/>
              <w:rPr>
                <w:b/>
              </w:rPr>
            </w:pPr>
            <w:r>
              <w:rPr>
                <w:b/>
              </w:rPr>
              <w:t>67.970</w:t>
            </w:r>
          </w:p>
        </w:tc>
        <w:tc>
          <w:tcPr>
            <w:tcW w:w="1334" w:type="dxa"/>
          </w:tcPr>
          <w:p w:rsidR="00C13F68" w:rsidRPr="00860EAE" w:rsidRDefault="008503CE" w:rsidP="00C13F68">
            <w:pPr>
              <w:jc w:val="right"/>
              <w:rPr>
                <w:b/>
              </w:rPr>
            </w:pPr>
            <w:r>
              <w:rPr>
                <w:b/>
              </w:rPr>
              <w:t>27.323</w:t>
            </w:r>
          </w:p>
        </w:tc>
      </w:tr>
      <w:tr w:rsidR="00C13F68" w:rsidRPr="001143BB" w:rsidTr="00C13F68">
        <w:tc>
          <w:tcPr>
            <w:tcW w:w="3888" w:type="dxa"/>
          </w:tcPr>
          <w:p w:rsidR="00C13F68" w:rsidRPr="00860EAE" w:rsidRDefault="00C13F68" w:rsidP="00C13F68">
            <w:pPr>
              <w:spacing w:after="240"/>
            </w:pPr>
            <w:r w:rsidRPr="00860EAE">
              <w:rPr>
                <w:i/>
              </w:rPr>
              <w:t>Add Maturing Debt to be replaced</w:t>
            </w:r>
            <w:r w:rsidRPr="00860EAE">
              <w:t>:</w:t>
            </w:r>
          </w:p>
        </w:tc>
        <w:tc>
          <w:tcPr>
            <w:tcW w:w="1224" w:type="dxa"/>
          </w:tcPr>
          <w:p w:rsidR="00C13F68" w:rsidRPr="00860EAE" w:rsidRDefault="00C13F68" w:rsidP="00C13F68">
            <w:pPr>
              <w:jc w:val="right"/>
            </w:pPr>
          </w:p>
        </w:tc>
        <w:tc>
          <w:tcPr>
            <w:tcW w:w="1224" w:type="dxa"/>
          </w:tcPr>
          <w:p w:rsidR="00C13F68" w:rsidRPr="00860EAE" w:rsidRDefault="00C13F68" w:rsidP="00C13F68">
            <w:pPr>
              <w:jc w:val="right"/>
            </w:pPr>
          </w:p>
        </w:tc>
        <w:tc>
          <w:tcPr>
            <w:tcW w:w="1114" w:type="dxa"/>
          </w:tcPr>
          <w:p w:rsidR="00C13F68" w:rsidRPr="00860EAE" w:rsidRDefault="00C13F68" w:rsidP="00C13F68">
            <w:pPr>
              <w:jc w:val="right"/>
            </w:pPr>
          </w:p>
        </w:tc>
        <w:tc>
          <w:tcPr>
            <w:tcW w:w="1334" w:type="dxa"/>
          </w:tcPr>
          <w:p w:rsidR="00C13F68" w:rsidRPr="00860EAE" w:rsidRDefault="00C13F68" w:rsidP="00C13F68">
            <w:pPr>
              <w:jc w:val="right"/>
            </w:pPr>
          </w:p>
        </w:tc>
      </w:tr>
      <w:tr w:rsidR="00C13F68" w:rsidRPr="001143BB" w:rsidTr="00C13F68">
        <w:tc>
          <w:tcPr>
            <w:tcW w:w="3888" w:type="dxa"/>
          </w:tcPr>
          <w:p w:rsidR="00C13F68" w:rsidRPr="00860EAE" w:rsidRDefault="00C13F68" w:rsidP="00C13F68">
            <w:pPr>
              <w:spacing w:after="240"/>
            </w:pPr>
            <w:r w:rsidRPr="00860EAE">
              <w:t>Long Term PWLB</w:t>
            </w:r>
          </w:p>
        </w:tc>
        <w:tc>
          <w:tcPr>
            <w:tcW w:w="1224" w:type="dxa"/>
          </w:tcPr>
          <w:p w:rsidR="00C13F68" w:rsidRPr="00860EAE" w:rsidRDefault="005545B4" w:rsidP="00C13F68">
            <w:pPr>
              <w:jc w:val="right"/>
            </w:pPr>
            <w:r w:rsidRPr="00860EAE">
              <w:t>0</w:t>
            </w:r>
          </w:p>
        </w:tc>
        <w:tc>
          <w:tcPr>
            <w:tcW w:w="1224" w:type="dxa"/>
          </w:tcPr>
          <w:p w:rsidR="00C13F68" w:rsidRPr="00860EAE" w:rsidRDefault="005545B4" w:rsidP="00C13F68">
            <w:pPr>
              <w:jc w:val="right"/>
            </w:pPr>
            <w:r w:rsidRPr="00860EAE">
              <w:t>0</w:t>
            </w:r>
          </w:p>
        </w:tc>
        <w:tc>
          <w:tcPr>
            <w:tcW w:w="1114" w:type="dxa"/>
          </w:tcPr>
          <w:p w:rsidR="00C13F68" w:rsidRPr="00860EAE" w:rsidRDefault="005545B4" w:rsidP="00C13F68">
            <w:pPr>
              <w:jc w:val="right"/>
            </w:pPr>
            <w:r w:rsidRPr="00860EAE">
              <w:t>0</w:t>
            </w:r>
          </w:p>
        </w:tc>
        <w:tc>
          <w:tcPr>
            <w:tcW w:w="1334" w:type="dxa"/>
          </w:tcPr>
          <w:p w:rsidR="00C13F68" w:rsidRPr="00860EAE" w:rsidRDefault="00C13F68" w:rsidP="00C13F68">
            <w:pPr>
              <w:jc w:val="right"/>
            </w:pPr>
            <w:r w:rsidRPr="00860EAE">
              <w:t>0</w:t>
            </w:r>
          </w:p>
        </w:tc>
      </w:tr>
      <w:tr w:rsidR="00C13F68" w:rsidRPr="001143BB" w:rsidTr="00C13F68">
        <w:tc>
          <w:tcPr>
            <w:tcW w:w="3888" w:type="dxa"/>
          </w:tcPr>
          <w:p w:rsidR="00C13F68" w:rsidRPr="009E6793" w:rsidRDefault="00C13F68" w:rsidP="00C13F68">
            <w:pPr>
              <w:spacing w:after="240"/>
            </w:pPr>
            <w:r w:rsidRPr="009E6793">
              <w:t>Short Term Market Borrowing</w:t>
            </w:r>
          </w:p>
        </w:tc>
        <w:tc>
          <w:tcPr>
            <w:tcW w:w="1224" w:type="dxa"/>
          </w:tcPr>
          <w:p w:rsidR="00C13F68" w:rsidRPr="009E6793" w:rsidRDefault="00ED5AB2" w:rsidP="00C13F68">
            <w:pPr>
              <w:jc w:val="right"/>
            </w:pPr>
            <w:r w:rsidRPr="009E6793">
              <w:t>264.700</w:t>
            </w:r>
          </w:p>
          <w:p w:rsidR="00C13F68" w:rsidRPr="009E6793" w:rsidRDefault="00C13F68" w:rsidP="00C13F68">
            <w:pPr>
              <w:jc w:val="right"/>
            </w:pPr>
          </w:p>
        </w:tc>
        <w:tc>
          <w:tcPr>
            <w:tcW w:w="1224" w:type="dxa"/>
          </w:tcPr>
          <w:p w:rsidR="00C13F68" w:rsidRPr="009E6793" w:rsidRDefault="00ED5AB2" w:rsidP="00C13F68">
            <w:pPr>
              <w:jc w:val="right"/>
            </w:pPr>
            <w:r w:rsidRPr="009E6793">
              <w:t>264.700</w:t>
            </w:r>
          </w:p>
        </w:tc>
        <w:tc>
          <w:tcPr>
            <w:tcW w:w="1114" w:type="dxa"/>
          </w:tcPr>
          <w:p w:rsidR="00C13F68" w:rsidRPr="009E6793" w:rsidRDefault="00ED5AB2" w:rsidP="00C13F68">
            <w:pPr>
              <w:jc w:val="right"/>
            </w:pPr>
            <w:r w:rsidRPr="009E6793">
              <w:t>264.700</w:t>
            </w:r>
          </w:p>
        </w:tc>
        <w:tc>
          <w:tcPr>
            <w:tcW w:w="1334" w:type="dxa"/>
          </w:tcPr>
          <w:p w:rsidR="00C13F68" w:rsidRPr="009E6793" w:rsidRDefault="00ED5AB2" w:rsidP="00C13F68">
            <w:pPr>
              <w:jc w:val="right"/>
            </w:pPr>
            <w:r w:rsidRPr="009E6793">
              <w:t>264.700</w:t>
            </w:r>
          </w:p>
        </w:tc>
      </w:tr>
      <w:tr w:rsidR="00C13F68" w:rsidRPr="001143BB" w:rsidTr="00C13F68">
        <w:tc>
          <w:tcPr>
            <w:tcW w:w="3888" w:type="dxa"/>
          </w:tcPr>
          <w:p w:rsidR="00C13F68" w:rsidRPr="009E6793" w:rsidRDefault="00C13F68" w:rsidP="00C13F68">
            <w:pPr>
              <w:spacing w:after="240"/>
            </w:pPr>
            <w:r w:rsidRPr="009E6793">
              <w:t>Less Transferred Debt</w:t>
            </w:r>
          </w:p>
        </w:tc>
        <w:tc>
          <w:tcPr>
            <w:tcW w:w="1224" w:type="dxa"/>
          </w:tcPr>
          <w:p w:rsidR="00C13F68" w:rsidRPr="009E6793" w:rsidRDefault="00ED5AB2" w:rsidP="00C13F68">
            <w:pPr>
              <w:jc w:val="right"/>
            </w:pPr>
            <w:r w:rsidRPr="009E6793">
              <w:t>2.033</w:t>
            </w:r>
          </w:p>
        </w:tc>
        <w:tc>
          <w:tcPr>
            <w:tcW w:w="1224" w:type="dxa"/>
          </w:tcPr>
          <w:p w:rsidR="00C13F68" w:rsidRPr="009E6793" w:rsidRDefault="00ED5AB2" w:rsidP="00C13F68">
            <w:pPr>
              <w:jc w:val="right"/>
            </w:pPr>
            <w:r w:rsidRPr="009E6793">
              <w:t>1.967</w:t>
            </w:r>
          </w:p>
        </w:tc>
        <w:tc>
          <w:tcPr>
            <w:tcW w:w="1114" w:type="dxa"/>
          </w:tcPr>
          <w:p w:rsidR="00C13F68" w:rsidRPr="009E6793" w:rsidRDefault="009E6793" w:rsidP="00C13F68">
            <w:pPr>
              <w:jc w:val="right"/>
            </w:pPr>
            <w:r w:rsidRPr="009E6793">
              <w:t>1.899</w:t>
            </w:r>
          </w:p>
        </w:tc>
        <w:tc>
          <w:tcPr>
            <w:tcW w:w="1334" w:type="dxa"/>
          </w:tcPr>
          <w:p w:rsidR="00C13F68" w:rsidRPr="009E6793" w:rsidRDefault="009E6793" w:rsidP="00020C9B">
            <w:pPr>
              <w:jc w:val="right"/>
            </w:pPr>
            <w:r w:rsidRPr="009E6793">
              <w:t>1.687</w:t>
            </w:r>
          </w:p>
        </w:tc>
      </w:tr>
      <w:tr w:rsidR="00C13F68" w:rsidRPr="001143BB" w:rsidTr="00C13F68">
        <w:tc>
          <w:tcPr>
            <w:tcW w:w="3888" w:type="dxa"/>
          </w:tcPr>
          <w:p w:rsidR="00C13F68" w:rsidRPr="0062021D" w:rsidRDefault="00C13F68" w:rsidP="00C13F68">
            <w:pPr>
              <w:spacing w:after="240"/>
            </w:pPr>
            <w:r w:rsidRPr="0062021D">
              <w:t>Less Statutory Charge to Revenue</w:t>
            </w:r>
          </w:p>
        </w:tc>
        <w:tc>
          <w:tcPr>
            <w:tcW w:w="1224" w:type="dxa"/>
          </w:tcPr>
          <w:p w:rsidR="00C13F68" w:rsidRPr="0062021D" w:rsidRDefault="00860EAE" w:rsidP="0055635A">
            <w:pPr>
              <w:jc w:val="right"/>
            </w:pPr>
            <w:r w:rsidRPr="0062021D">
              <w:t>37.228</w:t>
            </w:r>
          </w:p>
        </w:tc>
        <w:tc>
          <w:tcPr>
            <w:tcW w:w="1224" w:type="dxa"/>
          </w:tcPr>
          <w:p w:rsidR="00C13F68" w:rsidRPr="0062021D" w:rsidRDefault="00860EAE" w:rsidP="00507F04">
            <w:pPr>
              <w:jc w:val="right"/>
            </w:pPr>
            <w:r w:rsidRPr="0062021D">
              <w:t>35.</w:t>
            </w:r>
            <w:r w:rsidR="00507F04">
              <w:t>655</w:t>
            </w:r>
          </w:p>
        </w:tc>
        <w:tc>
          <w:tcPr>
            <w:tcW w:w="1114" w:type="dxa"/>
          </w:tcPr>
          <w:p w:rsidR="00C13F68" w:rsidRPr="0062021D" w:rsidRDefault="00507F04" w:rsidP="002466E3">
            <w:pPr>
              <w:jc w:val="right"/>
            </w:pPr>
            <w:r>
              <w:t>35.789</w:t>
            </w:r>
          </w:p>
        </w:tc>
        <w:tc>
          <w:tcPr>
            <w:tcW w:w="1334" w:type="dxa"/>
          </w:tcPr>
          <w:p w:rsidR="00C13F68" w:rsidRPr="0062021D" w:rsidRDefault="00507F04" w:rsidP="002466E3">
            <w:pPr>
              <w:jc w:val="right"/>
            </w:pPr>
            <w:r>
              <w:t>35.249</w:t>
            </w:r>
          </w:p>
        </w:tc>
      </w:tr>
      <w:tr w:rsidR="00C13F68" w:rsidRPr="001143BB" w:rsidTr="00C13F68">
        <w:trPr>
          <w:trHeight w:val="678"/>
        </w:trPr>
        <w:tc>
          <w:tcPr>
            <w:tcW w:w="3888" w:type="dxa"/>
            <w:tcBorders>
              <w:bottom w:val="single" w:sz="4" w:space="0" w:color="auto"/>
            </w:tcBorders>
          </w:tcPr>
          <w:p w:rsidR="00C13F68" w:rsidRPr="0062021D" w:rsidRDefault="00C13F68" w:rsidP="00C13F68">
            <w:pPr>
              <w:spacing w:after="240"/>
              <w:rPr>
                <w:b/>
                <w:bCs/>
              </w:rPr>
            </w:pPr>
            <w:r w:rsidRPr="0062021D">
              <w:rPr>
                <w:b/>
                <w:bCs/>
              </w:rPr>
              <w:t>Total Borrowing Requirement</w:t>
            </w:r>
          </w:p>
        </w:tc>
        <w:tc>
          <w:tcPr>
            <w:tcW w:w="1224" w:type="dxa"/>
            <w:tcBorders>
              <w:bottom w:val="single" w:sz="4" w:space="0" w:color="auto"/>
            </w:tcBorders>
          </w:tcPr>
          <w:p w:rsidR="00C13F68" w:rsidRPr="0062021D" w:rsidRDefault="0062021D" w:rsidP="00C13F68">
            <w:pPr>
              <w:jc w:val="right"/>
              <w:rPr>
                <w:b/>
                <w:bCs/>
              </w:rPr>
            </w:pPr>
            <w:r w:rsidRPr="0062021D">
              <w:rPr>
                <w:b/>
                <w:bCs/>
              </w:rPr>
              <w:t>227.339</w:t>
            </w:r>
          </w:p>
        </w:tc>
        <w:tc>
          <w:tcPr>
            <w:tcW w:w="1224" w:type="dxa"/>
            <w:tcBorders>
              <w:bottom w:val="single" w:sz="4" w:space="0" w:color="auto"/>
            </w:tcBorders>
          </w:tcPr>
          <w:p w:rsidR="00C13F68" w:rsidRPr="0062021D" w:rsidRDefault="00507F04" w:rsidP="002466E3">
            <w:pPr>
              <w:jc w:val="right"/>
              <w:rPr>
                <w:b/>
                <w:bCs/>
              </w:rPr>
            </w:pPr>
            <w:r>
              <w:rPr>
                <w:b/>
                <w:bCs/>
              </w:rPr>
              <w:t>270.960</w:t>
            </w:r>
          </w:p>
        </w:tc>
        <w:tc>
          <w:tcPr>
            <w:tcW w:w="1114" w:type="dxa"/>
            <w:tcBorders>
              <w:bottom w:val="single" w:sz="4" w:space="0" w:color="auto"/>
            </w:tcBorders>
          </w:tcPr>
          <w:p w:rsidR="00C13F68" w:rsidRPr="0062021D" w:rsidRDefault="00507F04" w:rsidP="002466E3">
            <w:pPr>
              <w:jc w:val="right"/>
              <w:rPr>
                <w:b/>
                <w:bCs/>
              </w:rPr>
            </w:pPr>
            <w:r>
              <w:rPr>
                <w:b/>
                <w:bCs/>
              </w:rPr>
              <w:t>294.982</w:t>
            </w:r>
          </w:p>
        </w:tc>
        <w:tc>
          <w:tcPr>
            <w:tcW w:w="1334" w:type="dxa"/>
            <w:tcBorders>
              <w:bottom w:val="single" w:sz="4" w:space="0" w:color="auto"/>
            </w:tcBorders>
          </w:tcPr>
          <w:p w:rsidR="00C13F68" w:rsidRPr="0062021D" w:rsidRDefault="00507F04" w:rsidP="002466E3">
            <w:pPr>
              <w:jc w:val="right"/>
              <w:rPr>
                <w:b/>
                <w:bCs/>
              </w:rPr>
            </w:pPr>
            <w:r>
              <w:rPr>
                <w:b/>
                <w:bCs/>
              </w:rPr>
              <w:t>255.087</w:t>
            </w:r>
          </w:p>
        </w:tc>
      </w:tr>
    </w:tbl>
    <w:p w:rsidR="00C13F68" w:rsidRPr="001143BB" w:rsidRDefault="00C13F68" w:rsidP="00C13F68">
      <w:pPr>
        <w:jc w:val="both"/>
        <w:rPr>
          <w:highlight w:val="yellow"/>
        </w:rPr>
      </w:pPr>
    </w:p>
    <w:p w:rsidR="00C13F68" w:rsidRDefault="0062021D" w:rsidP="00C13F68">
      <w:pPr>
        <w:jc w:val="both"/>
      </w:pPr>
      <w:r w:rsidRPr="0062021D">
        <w:t>At 31</w:t>
      </w:r>
      <w:r w:rsidRPr="0062021D">
        <w:rPr>
          <w:vertAlign w:val="superscript"/>
        </w:rPr>
        <w:t>st</w:t>
      </w:r>
      <w:r w:rsidRPr="0062021D">
        <w:t xml:space="preserve"> March 2013 the</w:t>
      </w:r>
      <w:r w:rsidR="00C13F68" w:rsidRPr="0062021D">
        <w:t xml:space="preserve"> </w:t>
      </w:r>
      <w:r w:rsidRPr="0062021D">
        <w:t xml:space="preserve">County </w:t>
      </w:r>
      <w:r w:rsidR="00C13F68" w:rsidRPr="0062021D">
        <w:t>Council h</w:t>
      </w:r>
      <w:r w:rsidRPr="0062021D">
        <w:t>e</w:t>
      </w:r>
      <w:r w:rsidR="00C13F68" w:rsidRPr="0062021D">
        <w:t xml:space="preserve">ld </w:t>
      </w:r>
      <w:r w:rsidR="00020C9B" w:rsidRPr="0062021D">
        <w:t>£</w:t>
      </w:r>
      <w:r w:rsidRPr="0062021D">
        <w:t>745.40</w:t>
      </w:r>
      <w:r w:rsidR="00C13F68" w:rsidRPr="0062021D">
        <w:t xml:space="preserve"> million of </w:t>
      </w:r>
      <w:r w:rsidR="00F02F61" w:rsidRPr="0062021D">
        <w:t xml:space="preserve">short and </w:t>
      </w:r>
      <w:r w:rsidR="00C13F68" w:rsidRPr="0062021D">
        <w:t>long-term loans</w:t>
      </w:r>
      <w:r w:rsidRPr="0062021D">
        <w:t xml:space="preserve"> </w:t>
      </w:r>
      <w:r w:rsidR="00C13F68" w:rsidRPr="0062021D">
        <w:t>as part of its strategy for funding previ</w:t>
      </w:r>
      <w:r w:rsidR="00B474FF">
        <w:t xml:space="preserve">ous years’ capital programmes. </w:t>
      </w:r>
      <w:r w:rsidR="00C13F68" w:rsidRPr="0062021D">
        <w:t xml:space="preserve">The Council’s </w:t>
      </w:r>
      <w:r w:rsidR="009E6793" w:rsidRPr="0062021D">
        <w:t>borrowing</w:t>
      </w:r>
      <w:r w:rsidR="00C13F68" w:rsidRPr="0062021D">
        <w:t xml:space="preserve"> requirement as at 31</w:t>
      </w:r>
      <w:r w:rsidR="00C13F68" w:rsidRPr="0062021D">
        <w:rPr>
          <w:vertAlign w:val="superscript"/>
        </w:rPr>
        <w:t>st</w:t>
      </w:r>
      <w:r w:rsidR="00256318" w:rsidRPr="0062021D">
        <w:t xml:space="preserve"> March 2014</w:t>
      </w:r>
      <w:r w:rsidR="00C13F68" w:rsidRPr="0062021D">
        <w:t xml:space="preserve"> is expected to be </w:t>
      </w:r>
      <w:r w:rsidR="00FB32C8" w:rsidRPr="0062021D">
        <w:rPr>
          <w:lang w:eastAsia="en-US"/>
        </w:rPr>
        <w:t>£</w:t>
      </w:r>
      <w:r w:rsidRPr="0062021D">
        <w:rPr>
          <w:lang w:eastAsia="en-US"/>
        </w:rPr>
        <w:t>227.339</w:t>
      </w:r>
      <w:r w:rsidR="00C13F68" w:rsidRPr="0062021D">
        <w:t xml:space="preserve"> million, and is forecast to </w:t>
      </w:r>
      <w:r w:rsidR="00FB32C8" w:rsidRPr="0062021D">
        <w:t>rise</w:t>
      </w:r>
      <w:r w:rsidR="00C13F68" w:rsidRPr="0062021D">
        <w:t xml:space="preserve"> to </w:t>
      </w:r>
      <w:r w:rsidR="00FB32C8" w:rsidRPr="0062021D">
        <w:rPr>
          <w:lang w:eastAsia="en-US"/>
        </w:rPr>
        <w:t>£</w:t>
      </w:r>
      <w:r w:rsidR="00507F04">
        <w:rPr>
          <w:lang w:eastAsia="en-US"/>
        </w:rPr>
        <w:t>294.982</w:t>
      </w:r>
      <w:r w:rsidR="00FD2EAA">
        <w:rPr>
          <w:lang w:eastAsia="en-US"/>
        </w:rPr>
        <w:t xml:space="preserve"> </w:t>
      </w:r>
      <w:r w:rsidR="00256318" w:rsidRPr="0062021D">
        <w:t>m</w:t>
      </w:r>
      <w:r w:rsidR="00FD2EAA">
        <w:t>illion</w:t>
      </w:r>
      <w:r w:rsidR="00256318" w:rsidRPr="0062021D">
        <w:t xml:space="preserve"> by March 201</w:t>
      </w:r>
      <w:r w:rsidRPr="0062021D">
        <w:t>6</w:t>
      </w:r>
      <w:r w:rsidR="00C13F68" w:rsidRPr="0062021D">
        <w:t xml:space="preserve"> as capital expenditure is incurred. In addition, the Council may borrow for short periods of time to cover unexpected cash flow shortages.</w:t>
      </w:r>
    </w:p>
    <w:p w:rsidR="005741FA" w:rsidRDefault="005741FA" w:rsidP="00C13F68">
      <w:pPr>
        <w:jc w:val="both"/>
      </w:pPr>
    </w:p>
    <w:p w:rsidR="005741FA" w:rsidRDefault="005741FA" w:rsidP="00C13F68">
      <w:pPr>
        <w:jc w:val="both"/>
      </w:pPr>
      <w:r>
        <w:t>The Council's borrowing position over the coming years is affected by a number of specific factors:</w:t>
      </w:r>
    </w:p>
    <w:p w:rsidR="005741FA" w:rsidRDefault="005741FA" w:rsidP="00C13F68">
      <w:pPr>
        <w:jc w:val="both"/>
      </w:pPr>
    </w:p>
    <w:p w:rsidR="008503CE" w:rsidRDefault="005741FA">
      <w:pPr>
        <w:pStyle w:val="ListParagraph"/>
        <w:numPr>
          <w:ilvl w:val="0"/>
          <w:numId w:val="24"/>
        </w:numPr>
        <w:jc w:val="both"/>
      </w:pPr>
      <w:r>
        <w:t>The need to provide cash flow support for the Preston, South Ribble and Lancashire City Deal to cover the gap between the construction of infrastructure and the payment over of contributions from other organisations including the Government and developers. This borrowing is temporary.</w:t>
      </w:r>
    </w:p>
    <w:p w:rsidR="008503CE" w:rsidRDefault="008503CE">
      <w:pPr>
        <w:pStyle w:val="ListParagraph"/>
        <w:jc w:val="both"/>
      </w:pPr>
    </w:p>
    <w:p w:rsidR="008503CE" w:rsidRDefault="005741FA">
      <w:pPr>
        <w:pStyle w:val="ListParagraph"/>
        <w:numPr>
          <w:ilvl w:val="0"/>
          <w:numId w:val="24"/>
        </w:numPr>
        <w:jc w:val="both"/>
      </w:pPr>
      <w:r>
        <w:t>There is likely to be a similar need to provide even shorter term financial support in relation to the construction of the Heysham – M6 Link Road which is largely funded by government grant payable in arrears.</w:t>
      </w:r>
    </w:p>
    <w:p w:rsidR="008503CE" w:rsidRDefault="008503CE">
      <w:pPr>
        <w:pStyle w:val="ListParagraph"/>
        <w:jc w:val="both"/>
      </w:pPr>
    </w:p>
    <w:p w:rsidR="008503CE" w:rsidRDefault="005741FA">
      <w:pPr>
        <w:pStyle w:val="ListParagraph"/>
        <w:numPr>
          <w:ilvl w:val="0"/>
          <w:numId w:val="24"/>
        </w:numPr>
        <w:jc w:val="both"/>
      </w:pPr>
      <w:r>
        <w:t xml:space="preserve">An increase in underlying borrowing as the result of a strategic switch away from revenue financing of capital spending </w:t>
      </w:r>
      <w:r w:rsidR="00B97E6D">
        <w:t xml:space="preserve">to borrowing </w:t>
      </w:r>
      <w:r>
        <w:t xml:space="preserve">in order to free revenue resources to meet the overall cost of downsizing the County Council, </w:t>
      </w:r>
    </w:p>
    <w:p w:rsidR="00C13F68" w:rsidRPr="001143BB" w:rsidRDefault="00C13F68" w:rsidP="00C13F68">
      <w:pPr>
        <w:jc w:val="both"/>
        <w:rPr>
          <w:highlight w:val="yellow"/>
        </w:rPr>
      </w:pPr>
    </w:p>
    <w:p w:rsidR="00104469" w:rsidRPr="00932EE8" w:rsidRDefault="00C13F68" w:rsidP="00932EE8">
      <w:pPr>
        <w:jc w:val="both"/>
      </w:pPr>
      <w:r w:rsidRPr="0062021D">
        <w:t xml:space="preserve">The </w:t>
      </w:r>
      <w:r w:rsidR="00E31179" w:rsidRPr="0062021D">
        <w:t xml:space="preserve">recent </w:t>
      </w:r>
      <w:r w:rsidRPr="0062021D">
        <w:t>approach to borrowing adopted by the County Council has been to utilise short term market borrowing to take advantage of low interest rate policy. The table above assumes the continuation of this approach to funding. The approach is continually reviewed in order to ensure that the County Council's borrowing costs are minimised.</w:t>
      </w:r>
      <w:r w:rsidR="00932EE8">
        <w:t xml:space="preserve"> However, </w:t>
      </w:r>
      <w:r w:rsidR="00932EE8" w:rsidRPr="00932EE8">
        <w:t>s</w:t>
      </w:r>
      <w:r w:rsidR="00104469" w:rsidRPr="00932EE8">
        <w:t>hort-term and variable rate loans leave the Authority exposed to the risk of short-term interest rate rises and are therefore subject to the limit on the net exposure to variable interest rates in the treasury management indicators below.</w:t>
      </w:r>
    </w:p>
    <w:p w:rsidR="00104469" w:rsidRPr="001143BB" w:rsidRDefault="00104469" w:rsidP="00C13F68">
      <w:pPr>
        <w:jc w:val="both"/>
        <w:rPr>
          <w:highlight w:val="yellow"/>
        </w:rPr>
      </w:pPr>
    </w:p>
    <w:p w:rsidR="00E55677" w:rsidRPr="00932EE8" w:rsidRDefault="00D07A73" w:rsidP="00D07A73">
      <w:pPr>
        <w:spacing w:after="240"/>
        <w:jc w:val="both"/>
      </w:pPr>
      <w:r w:rsidRPr="00932EE8">
        <w:t>I</w:t>
      </w:r>
      <w:r w:rsidR="0040630B" w:rsidRPr="00932EE8">
        <w:t xml:space="preserve">t can be seen from the above table that the borrowing requirement for </w:t>
      </w:r>
      <w:r w:rsidR="002466E3" w:rsidRPr="00932EE8">
        <w:t>201</w:t>
      </w:r>
      <w:r w:rsidR="00256318" w:rsidRPr="00932EE8">
        <w:t>4</w:t>
      </w:r>
      <w:r w:rsidR="0040630B" w:rsidRPr="00932EE8">
        <w:t>/</w:t>
      </w:r>
      <w:r w:rsidR="002466E3" w:rsidRPr="00932EE8">
        <w:t>1</w:t>
      </w:r>
      <w:r w:rsidR="00256318" w:rsidRPr="00932EE8">
        <w:t>5</w:t>
      </w:r>
      <w:r w:rsidR="002466E3" w:rsidRPr="00932EE8">
        <w:t xml:space="preserve"> </w:t>
      </w:r>
      <w:r w:rsidR="0040630B" w:rsidRPr="00932EE8">
        <w:t>is £</w:t>
      </w:r>
      <w:r w:rsidR="00D465F9">
        <w:t xml:space="preserve">270.960 </w:t>
      </w:r>
      <w:r w:rsidRPr="00932EE8">
        <w:t>m</w:t>
      </w:r>
      <w:r w:rsidR="00D465F9">
        <w:t>illion</w:t>
      </w:r>
      <w:r w:rsidR="00FD2EAA">
        <w:t>,</w:t>
      </w:r>
      <w:r w:rsidR="00932EE8" w:rsidRPr="00932EE8">
        <w:t xml:space="preserve"> </w:t>
      </w:r>
      <w:r w:rsidR="00FD2EAA">
        <w:t>largely</w:t>
      </w:r>
      <w:r w:rsidR="00FD2EAA" w:rsidRPr="00932EE8">
        <w:t xml:space="preserve"> </w:t>
      </w:r>
      <w:r w:rsidR="00932EE8" w:rsidRPr="00932EE8">
        <w:t>as a result of needing to refinance maturing short term borrowing.</w:t>
      </w:r>
      <w:r w:rsidR="0040630B" w:rsidRPr="00932EE8">
        <w:t xml:space="preserve"> There are a range of options available for the borrowing strategy in</w:t>
      </w:r>
      <w:r w:rsidRPr="00932EE8">
        <w:t xml:space="preserve"> 201</w:t>
      </w:r>
      <w:r w:rsidR="00256318" w:rsidRPr="00932EE8">
        <w:t>4</w:t>
      </w:r>
      <w:r w:rsidRPr="00932EE8">
        <w:t>/1</w:t>
      </w:r>
      <w:r w:rsidR="00256318" w:rsidRPr="00932EE8">
        <w:t>5</w:t>
      </w:r>
      <w:r w:rsidRPr="00932EE8">
        <w:t>.</w:t>
      </w:r>
      <w:r w:rsidR="0040630B" w:rsidRPr="00932EE8">
        <w:t xml:space="preserve"> </w:t>
      </w:r>
    </w:p>
    <w:p w:rsidR="00E55677" w:rsidRPr="00932EE8" w:rsidRDefault="0040630B" w:rsidP="00574AC0">
      <w:pPr>
        <w:pStyle w:val="ListParagraph"/>
        <w:numPr>
          <w:ilvl w:val="0"/>
          <w:numId w:val="7"/>
        </w:numPr>
        <w:spacing w:after="240"/>
        <w:jc w:val="both"/>
      </w:pPr>
      <w:r w:rsidRPr="00932EE8">
        <w:t xml:space="preserve">Variable rate borrowing is expected to be cheaper than fixed rate long term borrowing and will be attractive during the financial year, particularly as variable rates are closely linked to bank rates. </w:t>
      </w:r>
    </w:p>
    <w:p w:rsidR="00E55677" w:rsidRPr="00932EE8" w:rsidRDefault="0040630B" w:rsidP="00574AC0">
      <w:pPr>
        <w:pStyle w:val="ListParagraph"/>
        <w:numPr>
          <w:ilvl w:val="0"/>
          <w:numId w:val="7"/>
        </w:numPr>
        <w:spacing w:after="240"/>
        <w:jc w:val="both"/>
      </w:pPr>
      <w:r w:rsidRPr="00932EE8">
        <w:t>Under 10 year</w:t>
      </w:r>
      <w:r w:rsidR="00D07A73" w:rsidRPr="00932EE8">
        <w:t>s</w:t>
      </w:r>
      <w:r w:rsidRPr="00932EE8">
        <w:t xml:space="preserve"> rates are expected to be substantially lower than long term rates, so this opens up a range of choices that may allow the County Council to spread maturities away from concentration on long dated debt. </w:t>
      </w:r>
    </w:p>
    <w:p w:rsidR="0040630B" w:rsidRPr="00932EE8" w:rsidRDefault="0040630B" w:rsidP="00E55677">
      <w:pPr>
        <w:spacing w:after="240"/>
        <w:jc w:val="both"/>
      </w:pPr>
      <w:r w:rsidRPr="00932EE8">
        <w:t>Against this background, the County Treasurer will, in conjunction with the County Council's advis</w:t>
      </w:r>
      <w:r w:rsidR="00003932" w:rsidRPr="00932EE8">
        <w:t>o</w:t>
      </w:r>
      <w:r w:rsidRPr="00932EE8">
        <w:t xml:space="preserve">rs, monitor the interest rate situation closely and will adopt a pragmatic approach to </w:t>
      </w:r>
      <w:r w:rsidR="00974CAE" w:rsidRPr="00932EE8">
        <w:t xml:space="preserve">delivering the objectives of this strategy within </w:t>
      </w:r>
      <w:r w:rsidRPr="00932EE8">
        <w:t xml:space="preserve">changing </w:t>
      </w:r>
      <w:r w:rsidR="00974CAE" w:rsidRPr="00932EE8">
        <w:t xml:space="preserve">economic </w:t>
      </w:r>
      <w:r w:rsidRPr="00932EE8">
        <w:t xml:space="preserve">circumstances, but as </w:t>
      </w:r>
      <w:r w:rsidR="00974CAE" w:rsidRPr="00932EE8">
        <w:t xml:space="preserve">interest </w:t>
      </w:r>
      <w:r w:rsidRPr="00932EE8">
        <w:t xml:space="preserve">rates are not </w:t>
      </w:r>
      <w:r w:rsidR="00974CAE" w:rsidRPr="00932EE8">
        <w:t xml:space="preserve">forecast to </w:t>
      </w:r>
      <w:r w:rsidRPr="00932EE8">
        <w:t>rise in this year careful monitoring will ensure that borrowing is taken at the most appropriate time.</w:t>
      </w:r>
    </w:p>
    <w:p w:rsidR="00E55677" w:rsidRDefault="00E55677" w:rsidP="00E55677">
      <w:pPr>
        <w:spacing w:after="240"/>
        <w:jc w:val="both"/>
      </w:pPr>
      <w:r w:rsidRPr="00932EE8">
        <w:t xml:space="preserve">Given the increased cost of PWLB borrowing </w:t>
      </w:r>
      <w:r w:rsidR="00144D3A" w:rsidRPr="00932EE8">
        <w:t xml:space="preserve">relative to other </w:t>
      </w:r>
      <w:r w:rsidR="00DF0B5B" w:rsidRPr="00932EE8">
        <w:t xml:space="preserve">market </w:t>
      </w:r>
      <w:r w:rsidR="00B97E6D">
        <w:t>options</w:t>
      </w:r>
      <w:r w:rsidR="00B97E6D" w:rsidRPr="00932EE8">
        <w:t xml:space="preserve"> </w:t>
      </w:r>
      <w:r w:rsidRPr="00932EE8">
        <w:t xml:space="preserve">the </w:t>
      </w:r>
      <w:r w:rsidR="006971B7" w:rsidRPr="00932EE8">
        <w:t xml:space="preserve">County </w:t>
      </w:r>
      <w:r w:rsidRPr="00932EE8">
        <w:t>Council is likely to undertake future borrowing activity within the financial markets, taking advantage of the benefits of its AA+ credit rating.</w:t>
      </w:r>
    </w:p>
    <w:p w:rsidR="00D0632F" w:rsidRPr="00932EE8" w:rsidRDefault="00D0632F" w:rsidP="00E55677">
      <w:pPr>
        <w:spacing w:after="240"/>
        <w:jc w:val="both"/>
      </w:pPr>
    </w:p>
    <w:p w:rsidR="0040630B" w:rsidRPr="00932EE8" w:rsidRDefault="00D07A73" w:rsidP="00B474FF">
      <w:pPr>
        <w:spacing w:after="240"/>
        <w:jc w:val="both"/>
      </w:pPr>
      <w:r w:rsidRPr="00932EE8">
        <w:t xml:space="preserve">All decisions on whether to undertake new </w:t>
      </w:r>
      <w:r w:rsidR="0082655F" w:rsidRPr="00932EE8">
        <w:t>or replacement</w:t>
      </w:r>
      <w:r w:rsidRPr="00932EE8">
        <w:t xml:space="preserve"> borrowing to support previous or future capital investment will be subject to evaluation against the following criteria:</w:t>
      </w:r>
    </w:p>
    <w:p w:rsidR="00D07A73" w:rsidRPr="00932EE8" w:rsidRDefault="00D07A73" w:rsidP="00B474FF">
      <w:pPr>
        <w:pStyle w:val="ListParagraph"/>
        <w:numPr>
          <w:ilvl w:val="0"/>
          <w:numId w:val="1"/>
        </w:numPr>
        <w:spacing w:after="240"/>
        <w:jc w:val="both"/>
      </w:pPr>
      <w:r w:rsidRPr="00932EE8">
        <w:t>Overall need, whether a borrowing requirement to fund the capital programme or previous capital investment exists;</w:t>
      </w:r>
    </w:p>
    <w:p w:rsidR="00D07A73" w:rsidRPr="00932EE8" w:rsidRDefault="00D07A73" w:rsidP="00B474FF">
      <w:pPr>
        <w:pStyle w:val="ListParagraph"/>
        <w:numPr>
          <w:ilvl w:val="0"/>
          <w:numId w:val="1"/>
        </w:numPr>
        <w:spacing w:after="240"/>
        <w:jc w:val="both"/>
      </w:pPr>
      <w:r w:rsidRPr="00932EE8">
        <w:t>Timing, when such a borrowing requirement might exist given the overall strategy for financing capital investment, and previous capital spending performance;</w:t>
      </w:r>
    </w:p>
    <w:p w:rsidR="00D07A73" w:rsidRPr="00932EE8" w:rsidRDefault="00D07A73" w:rsidP="00B474FF">
      <w:pPr>
        <w:pStyle w:val="ListParagraph"/>
        <w:numPr>
          <w:ilvl w:val="0"/>
          <w:numId w:val="1"/>
        </w:numPr>
        <w:spacing w:after="240"/>
        <w:jc w:val="both"/>
      </w:pPr>
      <w:proofErr w:type="gramStart"/>
      <w:r w:rsidRPr="00932EE8">
        <w:t>Market conditions</w:t>
      </w:r>
      <w:proofErr w:type="gramEnd"/>
      <w:r w:rsidR="00FC67A8" w:rsidRPr="00932EE8">
        <w:t xml:space="preserve">, </w:t>
      </w:r>
      <w:r w:rsidR="006971B7" w:rsidRPr="00932EE8">
        <w:t xml:space="preserve">to </w:t>
      </w:r>
      <w:r w:rsidRPr="00932EE8">
        <w:t>ensur</w:t>
      </w:r>
      <w:r w:rsidR="00FC67A8" w:rsidRPr="00932EE8">
        <w:t>e</w:t>
      </w:r>
      <w:r w:rsidRPr="00932EE8">
        <w:t xml:space="preserve"> borrowing that does need to be underta</w:t>
      </w:r>
      <w:r w:rsidR="00FC67A8" w:rsidRPr="00932EE8">
        <w:t>ken is achieved at minimum cost, including a comparison between internal and externally financed borrowing.</w:t>
      </w:r>
    </w:p>
    <w:p w:rsidR="00D07A73" w:rsidRPr="00932EE8" w:rsidRDefault="00D07A73" w:rsidP="00B474FF">
      <w:pPr>
        <w:pStyle w:val="ListParagraph"/>
        <w:numPr>
          <w:ilvl w:val="0"/>
          <w:numId w:val="1"/>
        </w:numPr>
        <w:spacing w:after="240"/>
        <w:jc w:val="both"/>
      </w:pPr>
      <w:r w:rsidRPr="00932EE8">
        <w:t>Scale</w:t>
      </w:r>
      <w:r w:rsidR="00FC67A8" w:rsidRPr="00932EE8">
        <w:t xml:space="preserve">, to </w:t>
      </w:r>
      <w:r w:rsidRPr="00932EE8">
        <w:t>ensur</w:t>
      </w:r>
      <w:r w:rsidR="00FC67A8" w:rsidRPr="00932EE8">
        <w:t>e</w:t>
      </w:r>
      <w:r w:rsidRPr="00932EE8">
        <w:t xml:space="preserve"> borrowing is undertaken on a scale commensurate with the agreed financing route.</w:t>
      </w:r>
    </w:p>
    <w:p w:rsidR="00D07A73" w:rsidRDefault="00D07A73" w:rsidP="00B474FF">
      <w:pPr>
        <w:spacing w:after="240"/>
        <w:jc w:val="both"/>
      </w:pPr>
      <w:r w:rsidRPr="00932EE8">
        <w:t xml:space="preserve">All </w:t>
      </w:r>
      <w:r w:rsidR="00E31179" w:rsidRPr="00932EE8">
        <w:t xml:space="preserve">long term </w:t>
      </w:r>
      <w:r w:rsidRPr="00932EE8">
        <w:t>decisions will be documented reflecting the assessment of these criteria.</w:t>
      </w:r>
    </w:p>
    <w:p w:rsidR="00E31179" w:rsidRPr="00932EE8" w:rsidRDefault="00E31179" w:rsidP="00E31179">
      <w:pPr>
        <w:jc w:val="both"/>
        <w:rPr>
          <w:i/>
        </w:rPr>
      </w:pPr>
      <w:r w:rsidRPr="00932EE8">
        <w:rPr>
          <w:i/>
        </w:rPr>
        <w:t xml:space="preserve">Sources of borrowing </w:t>
      </w:r>
    </w:p>
    <w:p w:rsidR="00E31179" w:rsidRPr="00932EE8" w:rsidRDefault="00E31179" w:rsidP="00E31179">
      <w:pPr>
        <w:jc w:val="both"/>
        <w:rPr>
          <w:i/>
        </w:rPr>
      </w:pPr>
    </w:p>
    <w:p w:rsidR="00E31179" w:rsidRPr="00B27B53" w:rsidRDefault="00E31179" w:rsidP="00E31179">
      <w:pPr>
        <w:jc w:val="both"/>
      </w:pPr>
      <w:r w:rsidRPr="00B27B53">
        <w:t>The approved sources of long-term and short-term borrowing will be:</w:t>
      </w:r>
    </w:p>
    <w:p w:rsidR="00894308" w:rsidRPr="00B27B53" w:rsidRDefault="00894308" w:rsidP="00E31179">
      <w:pPr>
        <w:jc w:val="both"/>
      </w:pPr>
    </w:p>
    <w:p w:rsidR="00E31179" w:rsidRPr="00B27B53" w:rsidRDefault="00E31179" w:rsidP="00574AC0">
      <w:pPr>
        <w:numPr>
          <w:ilvl w:val="0"/>
          <w:numId w:val="13"/>
        </w:numPr>
        <w:jc w:val="both"/>
      </w:pPr>
      <w:r w:rsidRPr="00B27B53">
        <w:t>Public Works Loan Board</w:t>
      </w:r>
    </w:p>
    <w:p w:rsidR="00894308" w:rsidRPr="00B27B53" w:rsidRDefault="00894308" w:rsidP="00574AC0">
      <w:pPr>
        <w:numPr>
          <w:ilvl w:val="0"/>
          <w:numId w:val="13"/>
        </w:numPr>
        <w:jc w:val="both"/>
      </w:pPr>
      <w:r w:rsidRPr="00B27B53">
        <w:t>UK Local Authorities</w:t>
      </w:r>
    </w:p>
    <w:p w:rsidR="00E31179" w:rsidRPr="00B27B53" w:rsidRDefault="00E31179" w:rsidP="00574AC0">
      <w:pPr>
        <w:numPr>
          <w:ilvl w:val="0"/>
          <w:numId w:val="13"/>
        </w:numPr>
        <w:jc w:val="both"/>
      </w:pPr>
      <w:r w:rsidRPr="00B27B53">
        <w:t xml:space="preserve">any institution approved for investments </w:t>
      </w:r>
    </w:p>
    <w:p w:rsidR="00894308" w:rsidRPr="00B27B53" w:rsidRDefault="00894308" w:rsidP="00894308">
      <w:pPr>
        <w:pStyle w:val="ListParagraph"/>
        <w:numPr>
          <w:ilvl w:val="0"/>
          <w:numId w:val="13"/>
        </w:numPr>
        <w:spacing w:line="276" w:lineRule="auto"/>
        <w:contextualSpacing w:val="0"/>
        <w:jc w:val="both"/>
      </w:pPr>
      <w:r w:rsidRPr="00B27B53">
        <w:t>any other bank or building society authorised by the Prudential Regulation Authority to operate in the UK</w:t>
      </w:r>
    </w:p>
    <w:p w:rsidR="00894308" w:rsidRPr="00B27B53" w:rsidRDefault="00894308" w:rsidP="00894308">
      <w:pPr>
        <w:pStyle w:val="ListParagraph"/>
        <w:numPr>
          <w:ilvl w:val="0"/>
          <w:numId w:val="13"/>
        </w:numPr>
        <w:spacing w:line="276" w:lineRule="auto"/>
        <w:contextualSpacing w:val="0"/>
        <w:jc w:val="both"/>
      </w:pPr>
      <w:r w:rsidRPr="00B27B53">
        <w:t xml:space="preserve">UK public and private sector pension funds </w:t>
      </w:r>
    </w:p>
    <w:p w:rsidR="00E31179" w:rsidRPr="00B27B53" w:rsidRDefault="00E31179" w:rsidP="00574AC0">
      <w:pPr>
        <w:numPr>
          <w:ilvl w:val="0"/>
          <w:numId w:val="13"/>
        </w:numPr>
        <w:jc w:val="both"/>
      </w:pPr>
      <w:r w:rsidRPr="00B27B53">
        <w:t>capital market bond investors</w:t>
      </w:r>
    </w:p>
    <w:p w:rsidR="00B27B53" w:rsidRPr="004905D2" w:rsidRDefault="00B27B53" w:rsidP="00B474FF">
      <w:pPr>
        <w:pStyle w:val="ListParagraph"/>
        <w:numPr>
          <w:ilvl w:val="0"/>
          <w:numId w:val="13"/>
        </w:numPr>
        <w:pBdr>
          <w:top w:val="nil"/>
          <w:left w:val="nil"/>
          <w:bottom w:val="nil"/>
          <w:right w:val="nil"/>
          <w:between w:val="nil"/>
          <w:bar w:val="nil"/>
        </w:pBdr>
        <w:spacing w:after="240"/>
        <w:contextualSpacing w:val="0"/>
      </w:pPr>
      <w:proofErr w:type="gramStart"/>
      <w:r w:rsidRPr="004905D2">
        <w:t>special</w:t>
      </w:r>
      <w:proofErr w:type="gramEnd"/>
      <w:r w:rsidRPr="004905D2">
        <w:t xml:space="preserve"> purpose companies created to enable joint local authority bond issues, using the format of a Euro Medium Term Note programme.</w:t>
      </w:r>
    </w:p>
    <w:p w:rsidR="00B27B53" w:rsidRDefault="00B27B53" w:rsidP="00B474FF">
      <w:pPr>
        <w:pStyle w:val="ListParagraph"/>
        <w:tabs>
          <w:tab w:val="left" w:pos="720"/>
        </w:tabs>
        <w:spacing w:after="240"/>
        <w:ind w:left="0"/>
        <w:jc w:val="both"/>
      </w:pPr>
      <w:r w:rsidRPr="004905D2">
        <w:t>Over recent years the PWLB's terms of business have become more proscriptive, simultaneously making borrowing, and espec</w:t>
      </w:r>
      <w:r w:rsidR="00B474FF">
        <w:t xml:space="preserve">ially repayment, less flexible </w:t>
      </w:r>
      <w:r w:rsidRPr="004905D2">
        <w:t>and substantially more expensive.</w:t>
      </w:r>
    </w:p>
    <w:p w:rsidR="00B474FF" w:rsidRPr="004905D2" w:rsidRDefault="00B474FF" w:rsidP="00B474FF">
      <w:pPr>
        <w:pStyle w:val="ListParagraph"/>
        <w:tabs>
          <w:tab w:val="left" w:pos="720"/>
        </w:tabs>
        <w:spacing w:after="240"/>
        <w:ind w:left="0"/>
        <w:jc w:val="both"/>
      </w:pPr>
    </w:p>
    <w:p w:rsidR="00B27B53" w:rsidRDefault="00B27B53" w:rsidP="00B474FF">
      <w:pPr>
        <w:pStyle w:val="ListParagraph"/>
        <w:tabs>
          <w:tab w:val="left" w:pos="720"/>
        </w:tabs>
        <w:spacing w:after="240"/>
        <w:ind w:left="0"/>
        <w:jc w:val="both"/>
      </w:pPr>
      <w:r w:rsidRPr="004905D2">
        <w:t xml:space="preserve">Currently the public bond markets represent a cheaper source of funds than the PWLB but these markets have a somewhat different set of dynamics, than Councils are used to. </w:t>
      </w:r>
    </w:p>
    <w:p w:rsidR="00B474FF" w:rsidRPr="004905D2" w:rsidRDefault="00B474FF" w:rsidP="00B474FF">
      <w:pPr>
        <w:pStyle w:val="ListParagraph"/>
        <w:tabs>
          <w:tab w:val="left" w:pos="720"/>
        </w:tabs>
        <w:spacing w:after="240"/>
        <w:ind w:left="0"/>
        <w:jc w:val="both"/>
      </w:pPr>
    </w:p>
    <w:p w:rsidR="00B27B53" w:rsidRDefault="00B27B53" w:rsidP="00B474FF">
      <w:pPr>
        <w:pStyle w:val="ListParagraph"/>
        <w:tabs>
          <w:tab w:val="left" w:pos="720"/>
        </w:tabs>
        <w:spacing w:after="240"/>
        <w:ind w:left="0"/>
        <w:jc w:val="both"/>
      </w:pPr>
      <w:r w:rsidRPr="004905D2">
        <w:t>Councils have been used to "tapping" the PWLB for relatively small tranches of discreet funding at short notice. Accessing the Bond market requires a more systematic approach, but the ground work required is offset by the debt servicing savings achievable.</w:t>
      </w:r>
    </w:p>
    <w:p w:rsidR="00B474FF" w:rsidRPr="004905D2" w:rsidRDefault="00B474FF" w:rsidP="00B474FF">
      <w:pPr>
        <w:pStyle w:val="ListParagraph"/>
        <w:tabs>
          <w:tab w:val="left" w:pos="720"/>
        </w:tabs>
        <w:spacing w:after="240"/>
        <w:ind w:left="0"/>
        <w:jc w:val="both"/>
      </w:pPr>
    </w:p>
    <w:p w:rsidR="00B27B53" w:rsidRDefault="00B27B53" w:rsidP="00B474FF">
      <w:pPr>
        <w:pStyle w:val="ListParagraph"/>
        <w:tabs>
          <w:tab w:val="left" w:pos="720"/>
        </w:tabs>
        <w:spacing w:after="240"/>
        <w:ind w:left="0"/>
        <w:jc w:val="both"/>
      </w:pPr>
      <w:r w:rsidRPr="004905D2">
        <w:t xml:space="preserve">Public issues need to be of "marketable size" in order to provide investors with the degree of liquidity and price stability required. </w:t>
      </w:r>
      <w:r w:rsidR="004905D2">
        <w:t xml:space="preserve"> </w:t>
      </w:r>
      <w:r w:rsidRPr="004905D2">
        <w:t>A syndicate of market makers are also required to further support liquidity and need to be in place at the point of issuance.</w:t>
      </w:r>
    </w:p>
    <w:p w:rsidR="00B474FF" w:rsidRPr="004905D2" w:rsidRDefault="00B474FF" w:rsidP="00B474FF">
      <w:pPr>
        <w:pStyle w:val="ListParagraph"/>
        <w:tabs>
          <w:tab w:val="left" w:pos="720"/>
        </w:tabs>
        <w:spacing w:after="240"/>
        <w:ind w:left="0"/>
        <w:jc w:val="both"/>
      </w:pPr>
    </w:p>
    <w:p w:rsidR="00B27B53" w:rsidRPr="004905D2" w:rsidRDefault="00B27B53" w:rsidP="00B474FF">
      <w:pPr>
        <w:pStyle w:val="ListParagraph"/>
        <w:tabs>
          <w:tab w:val="left" w:pos="720"/>
        </w:tabs>
        <w:spacing w:after="240"/>
        <w:ind w:left="0"/>
        <w:jc w:val="both"/>
      </w:pPr>
      <w:r w:rsidRPr="004905D2">
        <w:t>Therefore the Council will need to draw single large debt funds from the market of the order of £200-300m in order to achieve optimum cost savings. Transactions of this form will require more active debt management at both the point of issue and at the point of maturity. At issue, the generated cash-flow "hump" and its temporary effects on indicators will need to be managed, as will the opposite cash-flow effect at bond maturity</w:t>
      </w:r>
      <w:r w:rsidR="004905D2">
        <w:t>, but</w:t>
      </w:r>
      <w:r w:rsidRPr="004905D2">
        <w:t xml:space="preserve"> again these effects are amply out- weighed by cost savings. </w:t>
      </w:r>
    </w:p>
    <w:p w:rsidR="00D465F9" w:rsidRDefault="00D465F9" w:rsidP="00B474FF">
      <w:pPr>
        <w:jc w:val="both"/>
        <w:rPr>
          <w:i/>
        </w:rPr>
      </w:pPr>
      <w:r w:rsidRPr="00D465F9">
        <w:rPr>
          <w:i/>
        </w:rPr>
        <w:t>Borrowing Instruments</w:t>
      </w:r>
    </w:p>
    <w:p w:rsidR="00D465F9" w:rsidRPr="00D465F9" w:rsidRDefault="00D465F9" w:rsidP="00B474FF">
      <w:pPr>
        <w:jc w:val="both"/>
        <w:rPr>
          <w:i/>
        </w:rPr>
      </w:pPr>
    </w:p>
    <w:p w:rsidR="00D465F9" w:rsidRDefault="00D465F9" w:rsidP="00B474FF">
      <w:pPr>
        <w:jc w:val="both"/>
      </w:pPr>
      <w:r w:rsidRPr="00D465F9">
        <w:t>The County Council may only borrow money by use of the following instruments:</w:t>
      </w:r>
    </w:p>
    <w:p w:rsidR="00B474FF" w:rsidRPr="00D465F9" w:rsidRDefault="00B474FF" w:rsidP="00B474FF">
      <w:pPr>
        <w:jc w:val="both"/>
      </w:pPr>
    </w:p>
    <w:p w:rsidR="00D465F9" w:rsidRPr="00D465F9" w:rsidRDefault="00D465F9" w:rsidP="00B474FF">
      <w:pPr>
        <w:pStyle w:val="ListParagraph"/>
        <w:numPr>
          <w:ilvl w:val="0"/>
          <w:numId w:val="25"/>
        </w:numPr>
        <w:ind w:left="1003"/>
        <w:jc w:val="both"/>
      </w:pPr>
      <w:r w:rsidRPr="00D465F9">
        <w:t>bank overdrafts</w:t>
      </w:r>
    </w:p>
    <w:p w:rsidR="00D465F9" w:rsidRPr="00D465F9" w:rsidRDefault="00D465F9" w:rsidP="00B474FF">
      <w:pPr>
        <w:pStyle w:val="ListParagraph"/>
        <w:numPr>
          <w:ilvl w:val="0"/>
          <w:numId w:val="25"/>
        </w:numPr>
        <w:ind w:left="1003"/>
        <w:jc w:val="both"/>
      </w:pPr>
      <w:r w:rsidRPr="00D465F9">
        <w:t>fixed term loans</w:t>
      </w:r>
    </w:p>
    <w:p w:rsidR="00D465F9" w:rsidRPr="00D465F9" w:rsidRDefault="00D465F9" w:rsidP="00B474FF">
      <w:pPr>
        <w:pStyle w:val="ListParagraph"/>
        <w:numPr>
          <w:ilvl w:val="0"/>
          <w:numId w:val="25"/>
        </w:numPr>
        <w:ind w:left="1003"/>
        <w:jc w:val="both"/>
      </w:pPr>
      <w:r w:rsidRPr="00D465F9">
        <w:t>callable loans or revolving credit facilities where the County Council may repay at any time (with or without notice)</w:t>
      </w:r>
    </w:p>
    <w:p w:rsidR="00D465F9" w:rsidRPr="00D465F9" w:rsidRDefault="00D465F9" w:rsidP="00B474FF">
      <w:pPr>
        <w:pStyle w:val="ListParagraph"/>
        <w:numPr>
          <w:ilvl w:val="0"/>
          <w:numId w:val="25"/>
        </w:numPr>
        <w:ind w:left="1003"/>
        <w:jc w:val="both"/>
      </w:pPr>
      <w:r w:rsidRPr="00D465F9">
        <w:t>lender’s option borrower’s option (LOBO) loans, but subject to a maximum of £50 million in total</w:t>
      </w:r>
    </w:p>
    <w:p w:rsidR="00D465F9" w:rsidRPr="00D465F9" w:rsidRDefault="00D465F9" w:rsidP="00B474FF">
      <w:pPr>
        <w:pStyle w:val="ListParagraph"/>
        <w:numPr>
          <w:ilvl w:val="0"/>
          <w:numId w:val="25"/>
        </w:numPr>
        <w:ind w:left="1003"/>
        <w:jc w:val="both"/>
      </w:pPr>
      <w:r w:rsidRPr="00D465F9">
        <w:t>bonds, notes, bills, commercial paper and other marketable instruments</w:t>
      </w:r>
    </w:p>
    <w:p w:rsidR="00D465F9" w:rsidRPr="00D465F9" w:rsidRDefault="00D465F9" w:rsidP="00B474FF">
      <w:pPr>
        <w:pStyle w:val="ListParagraph"/>
        <w:numPr>
          <w:ilvl w:val="0"/>
          <w:numId w:val="25"/>
        </w:numPr>
        <w:ind w:left="1003"/>
        <w:jc w:val="both"/>
      </w:pPr>
      <w:r w:rsidRPr="00D465F9">
        <w:t>sale and repurchase (repo) agreements</w:t>
      </w:r>
    </w:p>
    <w:p w:rsidR="00D465F9" w:rsidRPr="00D465F9" w:rsidRDefault="00D465F9" w:rsidP="00B474FF"/>
    <w:p w:rsidR="00D465F9" w:rsidRDefault="00D465F9" w:rsidP="00B474FF">
      <w:r w:rsidRPr="00D465F9">
        <w:t xml:space="preserve">Loans may be borrowed at either a fixed rate of interest, or at a variable rate linked to a market interest rate, such as LIBOR, subject to the limits on interest rate risk approved each year in the </w:t>
      </w:r>
      <w:r w:rsidRPr="00D465F9">
        <w:rPr>
          <w:i/>
        </w:rPr>
        <w:t>Treasury Management Strategy</w:t>
      </w:r>
      <w:r w:rsidRPr="00D465F9">
        <w:t>.</w:t>
      </w:r>
    </w:p>
    <w:p w:rsidR="00B474FF" w:rsidRPr="00932EE8" w:rsidRDefault="00B474FF" w:rsidP="00B474FF"/>
    <w:p w:rsidR="00550AB8" w:rsidRPr="00932EE8" w:rsidRDefault="00550AB8" w:rsidP="00C2176F">
      <w:pPr>
        <w:spacing w:after="240"/>
      </w:pPr>
      <w:r w:rsidRPr="00932EE8">
        <w:rPr>
          <w:bCs/>
          <w:i/>
        </w:rPr>
        <w:t>Debt Restructuring</w:t>
      </w:r>
    </w:p>
    <w:p w:rsidR="00550AB8" w:rsidRPr="00932EE8" w:rsidRDefault="00550AB8" w:rsidP="00392C2F">
      <w:pPr>
        <w:jc w:val="both"/>
      </w:pPr>
      <w:r w:rsidRPr="00932EE8">
        <w:t xml:space="preserve">The County Council continuously monitors both its debt portfolio and market conditions to evaluate potential savings from debt restructuring. </w:t>
      </w:r>
    </w:p>
    <w:p w:rsidR="00550AB8" w:rsidRPr="00932EE8" w:rsidRDefault="00550AB8" w:rsidP="00392C2F">
      <w:pPr>
        <w:jc w:val="both"/>
      </w:pPr>
      <w:r w:rsidRPr="00932EE8">
        <w:t xml:space="preserve">All practical and cost effective refinancing opportunities will be analyzed and executed where appropriate. </w:t>
      </w:r>
    </w:p>
    <w:p w:rsidR="00256318" w:rsidRPr="00932EE8" w:rsidRDefault="00256318" w:rsidP="00392C2F">
      <w:pPr>
        <w:rPr>
          <w:b/>
          <w:bCs/>
          <w:sz w:val="28"/>
          <w:szCs w:val="28"/>
        </w:rPr>
      </w:pPr>
    </w:p>
    <w:p w:rsidR="0040630B" w:rsidRPr="004B52FC" w:rsidRDefault="0040630B" w:rsidP="004B52FC">
      <w:pPr>
        <w:pStyle w:val="ListParagraph"/>
        <w:numPr>
          <w:ilvl w:val="0"/>
          <w:numId w:val="34"/>
        </w:numPr>
        <w:rPr>
          <w:b/>
          <w:bCs/>
          <w:sz w:val="28"/>
          <w:szCs w:val="28"/>
        </w:rPr>
      </w:pPr>
      <w:r w:rsidRPr="004B52FC">
        <w:rPr>
          <w:b/>
          <w:bCs/>
          <w:sz w:val="28"/>
          <w:szCs w:val="28"/>
        </w:rPr>
        <w:t>Policy on Borrowing in Advance of Need</w:t>
      </w:r>
    </w:p>
    <w:p w:rsidR="00392C2F" w:rsidRPr="00932EE8" w:rsidRDefault="00392C2F" w:rsidP="00392C2F">
      <w:pPr>
        <w:rPr>
          <w:b/>
          <w:bCs/>
        </w:rPr>
      </w:pPr>
    </w:p>
    <w:p w:rsidR="00D07A73" w:rsidRPr="00932EE8" w:rsidRDefault="0040630B" w:rsidP="00392C2F">
      <w:pPr>
        <w:jc w:val="both"/>
      </w:pPr>
      <w:r w:rsidRPr="00932EE8">
        <w:t xml:space="preserve">The </w:t>
      </w:r>
      <w:r w:rsidR="00FC67A8" w:rsidRPr="00932EE8">
        <w:t>County Council</w:t>
      </w:r>
      <w:r w:rsidRPr="00932EE8">
        <w:t xml:space="preserve"> will not borrow more than or in advance of need </w:t>
      </w:r>
      <w:r w:rsidR="00FC67A8" w:rsidRPr="00932EE8">
        <w:t>with the objective of</w:t>
      </w:r>
      <w:r w:rsidRPr="00932EE8">
        <w:t xml:space="preserve"> profit</w:t>
      </w:r>
      <w:r w:rsidR="00FC67A8" w:rsidRPr="00932EE8">
        <w:t>ing</w:t>
      </w:r>
      <w:r w:rsidRPr="00932EE8">
        <w:t xml:space="preserve"> from the investment of the </w:t>
      </w:r>
      <w:r w:rsidR="00D07A73" w:rsidRPr="00932EE8">
        <w:t xml:space="preserve">additional </w:t>
      </w:r>
      <w:r w:rsidRPr="00932EE8">
        <w:t xml:space="preserve">sums borrowed. </w:t>
      </w:r>
    </w:p>
    <w:p w:rsidR="00256318" w:rsidRPr="00932EE8" w:rsidRDefault="00256318" w:rsidP="00392C2F">
      <w:pPr>
        <w:jc w:val="both"/>
      </w:pPr>
    </w:p>
    <w:p w:rsidR="00D07A73" w:rsidRDefault="006C35ED" w:rsidP="00392C2F">
      <w:pPr>
        <w:jc w:val="both"/>
      </w:pPr>
      <w:r w:rsidRPr="00932EE8">
        <w:t>However, b</w:t>
      </w:r>
      <w:r w:rsidR="00D07A73" w:rsidRPr="00932EE8">
        <w:t>orrowing in advance of need can be justified in the following circumstances:</w:t>
      </w:r>
    </w:p>
    <w:p w:rsidR="00B474FF" w:rsidRPr="00932EE8" w:rsidRDefault="00B474FF" w:rsidP="00392C2F">
      <w:pPr>
        <w:jc w:val="both"/>
      </w:pPr>
    </w:p>
    <w:p w:rsidR="00D07A73" w:rsidRPr="00932EE8" w:rsidRDefault="00D07A73" w:rsidP="00574AC0">
      <w:pPr>
        <w:pStyle w:val="ListParagraph"/>
        <w:numPr>
          <w:ilvl w:val="0"/>
          <w:numId w:val="5"/>
        </w:numPr>
        <w:spacing w:after="240"/>
        <w:jc w:val="both"/>
      </w:pPr>
      <w:r w:rsidRPr="00932EE8">
        <w:t>Where there is a defined need to finance future capital investment that will materialise in a defined timescale of 2 years or less; and</w:t>
      </w:r>
    </w:p>
    <w:p w:rsidR="00E55677" w:rsidRPr="00932EE8" w:rsidRDefault="00E55677" w:rsidP="00E55677">
      <w:pPr>
        <w:pStyle w:val="ListParagraph"/>
        <w:spacing w:after="240"/>
        <w:jc w:val="both"/>
      </w:pPr>
    </w:p>
    <w:p w:rsidR="00D07A73" w:rsidRPr="00932EE8" w:rsidRDefault="00D07A73" w:rsidP="00574AC0">
      <w:pPr>
        <w:pStyle w:val="ListParagraph"/>
        <w:numPr>
          <w:ilvl w:val="0"/>
          <w:numId w:val="5"/>
        </w:numPr>
        <w:spacing w:after="240"/>
        <w:jc w:val="both"/>
      </w:pPr>
      <w:r w:rsidRPr="00932EE8">
        <w:t>Where the most advantageous method of raising capital finance requires the County Council to raise funds in a quantity greater than would be required in any one year, or</w:t>
      </w:r>
    </w:p>
    <w:p w:rsidR="00E55677" w:rsidRPr="00932EE8" w:rsidRDefault="00E55677" w:rsidP="00E55677">
      <w:pPr>
        <w:pStyle w:val="ListParagraph"/>
        <w:spacing w:after="240"/>
        <w:jc w:val="both"/>
      </w:pPr>
    </w:p>
    <w:p w:rsidR="00D07A73" w:rsidRPr="00932EE8" w:rsidRDefault="006C35ED" w:rsidP="00574AC0">
      <w:pPr>
        <w:pStyle w:val="ListParagraph"/>
        <w:numPr>
          <w:ilvl w:val="0"/>
          <w:numId w:val="5"/>
        </w:numPr>
        <w:spacing w:after="240"/>
        <w:jc w:val="both"/>
      </w:pPr>
      <w:r w:rsidRPr="00932EE8">
        <w:t>Where in the view of the County Treasurer, based on external advice, the achievement of value for money</w:t>
      </w:r>
      <w:r w:rsidR="00D07A73" w:rsidRPr="00932EE8">
        <w:t xml:space="preserve"> </w:t>
      </w:r>
      <w:r w:rsidRPr="00932EE8">
        <w:t>would be prejudiced by delaying borrowing beyond the 2 year horizon.</w:t>
      </w:r>
    </w:p>
    <w:p w:rsidR="0082655F" w:rsidRPr="00932EE8" w:rsidRDefault="0082655F" w:rsidP="00D07A73">
      <w:pPr>
        <w:spacing w:after="240"/>
        <w:jc w:val="both"/>
      </w:pPr>
      <w:r w:rsidRPr="00932EE8">
        <w:t xml:space="preserve">Having satisfied these criteria </w:t>
      </w:r>
      <w:r w:rsidR="0071599D" w:rsidRPr="00932EE8">
        <w:t>any proposal to borrow in advance of need would also need to be reviewed against the following factors:</w:t>
      </w:r>
    </w:p>
    <w:p w:rsidR="0071599D" w:rsidRPr="00932EE8" w:rsidRDefault="0071599D" w:rsidP="00B474FF">
      <w:pPr>
        <w:numPr>
          <w:ilvl w:val="0"/>
          <w:numId w:val="6"/>
        </w:numPr>
        <w:spacing w:after="240"/>
        <w:jc w:val="both"/>
      </w:pPr>
      <w:r w:rsidRPr="00932EE8">
        <w:t>Whether the ongoing revenue liabilities created, and the implications for the future plans and budgets have been considered and reflected in those plans and budgets</w:t>
      </w:r>
      <w:r w:rsidR="00FC67A8" w:rsidRPr="00932EE8">
        <w:t>, and the value for money of the proposal has been fully evaluated.</w:t>
      </w:r>
    </w:p>
    <w:p w:rsidR="0071599D" w:rsidRPr="00932EE8" w:rsidRDefault="0071599D" w:rsidP="00B474FF">
      <w:pPr>
        <w:numPr>
          <w:ilvl w:val="0"/>
          <w:numId w:val="6"/>
        </w:numPr>
        <w:spacing w:after="240"/>
        <w:jc w:val="both"/>
      </w:pPr>
      <w:r w:rsidRPr="00932EE8">
        <w:t>The merits and demerits of alternative forms of funding.</w:t>
      </w:r>
    </w:p>
    <w:p w:rsidR="0071599D" w:rsidRPr="00932EE8" w:rsidRDefault="0071599D" w:rsidP="00B474FF">
      <w:pPr>
        <w:numPr>
          <w:ilvl w:val="0"/>
          <w:numId w:val="6"/>
        </w:numPr>
        <w:tabs>
          <w:tab w:val="left" w:pos="1418"/>
        </w:tabs>
        <w:spacing w:after="240"/>
        <w:jc w:val="both"/>
        <w:rPr>
          <w:b/>
          <w:bCs/>
        </w:rPr>
      </w:pPr>
      <w:r w:rsidRPr="00932EE8">
        <w:t xml:space="preserve">The alternative interest rate bases available, the most appropriate periods </w:t>
      </w:r>
      <w:r w:rsidR="003F6C29" w:rsidRPr="00932EE8">
        <w:t xml:space="preserve">over which </w:t>
      </w:r>
      <w:r w:rsidRPr="00932EE8">
        <w:t>to fund and repayment profiles to use.</w:t>
      </w:r>
    </w:p>
    <w:p w:rsidR="00D0632F" w:rsidRPr="00932EE8" w:rsidRDefault="00B45A3F" w:rsidP="00B474FF">
      <w:pPr>
        <w:spacing w:after="240"/>
        <w:jc w:val="both"/>
      </w:pPr>
      <w:r w:rsidRPr="00932EE8">
        <w:t>All decisions will be documented reflecting the assessment of these circumstances and criteria.</w:t>
      </w:r>
    </w:p>
    <w:p w:rsidR="00D0632F" w:rsidRDefault="006C35ED" w:rsidP="00B474FF">
      <w:pPr>
        <w:spacing w:after="240"/>
        <w:jc w:val="both"/>
      </w:pPr>
      <w:r w:rsidRPr="00932EE8">
        <w:t>In addition the Shared Investment Scheme, which enables other local authorities in Lancashire to reduce their credit risk exposure, although accounted for as borrowing is not set against the Capital Financing Requirement.</w:t>
      </w:r>
      <w:r w:rsidR="00461946" w:rsidRPr="00932EE8">
        <w:t xml:space="preserve"> However this will form part of County Council's operational and authorised borrowing limits</w:t>
      </w:r>
      <w:r w:rsidR="00EE296D" w:rsidRPr="00932EE8">
        <w:t>, but not included within the capital financing requirement calculation</w:t>
      </w:r>
      <w:r w:rsidR="00461946" w:rsidRPr="00932EE8">
        <w:t>. For risk management purposes the County Council has set a cap of £1</w:t>
      </w:r>
      <w:r w:rsidR="00E31179" w:rsidRPr="00932EE8">
        <w:t>5</w:t>
      </w:r>
      <w:r w:rsidR="00461946" w:rsidRPr="00932EE8">
        <w:t>0m on the total value of the shared investment scheme.</w:t>
      </w:r>
      <w:r w:rsidRPr="00932EE8">
        <w:t xml:space="preserve"> </w:t>
      </w:r>
      <w:r w:rsidR="0040630B" w:rsidRPr="00932EE8">
        <w:t xml:space="preserve">The table below </w:t>
      </w:r>
      <w:r w:rsidR="00D0632F">
        <w:t>sets out</w:t>
      </w:r>
      <w:r w:rsidR="00D0632F" w:rsidRPr="00932EE8">
        <w:t xml:space="preserve"> </w:t>
      </w:r>
      <w:r w:rsidR="0040630B" w:rsidRPr="00932EE8">
        <w:t xml:space="preserve">an estimate of the relationship between the </w:t>
      </w:r>
      <w:r w:rsidR="00575BB9" w:rsidRPr="00932EE8">
        <w:t xml:space="preserve">borrowing </w:t>
      </w:r>
      <w:r w:rsidR="0040630B" w:rsidRPr="00932EE8">
        <w:t xml:space="preserve">capital financing requirement </w:t>
      </w:r>
      <w:r w:rsidR="0082655F" w:rsidRPr="00932EE8">
        <w:t xml:space="preserve">and </w:t>
      </w:r>
      <w:r w:rsidR="00575BB9" w:rsidRPr="00932EE8">
        <w:t>total</w:t>
      </w:r>
      <w:r w:rsidR="0082655F" w:rsidRPr="00932EE8">
        <w:t xml:space="preserve"> borrowing</w:t>
      </w:r>
      <w:r w:rsidR="00EB5E83" w:rsidRPr="00932EE8">
        <w:t xml:space="preserve"> </w:t>
      </w:r>
      <w:r w:rsidR="0040630B" w:rsidRPr="00932EE8">
        <w:t xml:space="preserve">during the current </w:t>
      </w:r>
      <w:r w:rsidR="00094F92" w:rsidRPr="00932EE8">
        <w:t xml:space="preserve">year </w:t>
      </w:r>
      <w:r w:rsidR="0040630B" w:rsidRPr="00932EE8">
        <w:t>and over the next three years.</w:t>
      </w:r>
    </w:p>
    <w:p w:rsidR="00E016C4" w:rsidRDefault="00575BB9" w:rsidP="00D07A73">
      <w:pPr>
        <w:pStyle w:val="ListParagraph"/>
        <w:numPr>
          <w:ilvl w:val="0"/>
          <w:numId w:val="28"/>
        </w:numPr>
        <w:spacing w:after="240"/>
        <w:jc w:val="both"/>
      </w:pPr>
      <w:r w:rsidRPr="00932EE8">
        <w:t>The shared investment scheme is assumed to contribute £</w:t>
      </w:r>
      <w:r w:rsidR="00131620" w:rsidRPr="00932EE8">
        <w:t>150m</w:t>
      </w:r>
      <w:r w:rsidRPr="00932EE8">
        <w:t xml:space="preserve"> to the borrowing total.</w:t>
      </w:r>
      <w:r w:rsidR="006842DD" w:rsidRPr="00932EE8">
        <w:t xml:space="preserve"> The operation of the scheme is reviewed annually, but this table assumes it will operate for the next three years and shows the position if take-up reaches the limits of the scheme.  </w:t>
      </w:r>
    </w:p>
    <w:p w:rsidR="00B474FF" w:rsidRDefault="00B474FF" w:rsidP="00B474FF">
      <w:pPr>
        <w:pStyle w:val="ListParagraph"/>
        <w:spacing w:after="240"/>
        <w:ind w:left="780"/>
        <w:jc w:val="both"/>
      </w:pPr>
    </w:p>
    <w:p w:rsidR="00E016C4" w:rsidRDefault="00603B8C" w:rsidP="00D07A73">
      <w:pPr>
        <w:pStyle w:val="ListParagraph"/>
        <w:numPr>
          <w:ilvl w:val="0"/>
          <w:numId w:val="28"/>
        </w:numPr>
        <w:spacing w:after="240"/>
        <w:jc w:val="both"/>
      </w:pPr>
      <w:r>
        <w:t>In September 2013 the County Council</w:t>
      </w:r>
      <w:r w:rsidR="004905D2">
        <w:t>'</w:t>
      </w:r>
      <w:r>
        <w:t>s bank gave notice that a standing charge of £100,000 p</w:t>
      </w:r>
      <w:r w:rsidR="004905D2">
        <w:t>.</w:t>
      </w:r>
      <w:r>
        <w:t>a</w:t>
      </w:r>
      <w:r w:rsidR="004905D2">
        <w:t>.</w:t>
      </w:r>
      <w:r>
        <w:t xml:space="preserve"> was to be levied on the County Council for the provision of the existing £20m overdraft facility. The facility was cancelled by the County Treasurer and </w:t>
      </w:r>
      <w:r w:rsidR="00E016C4">
        <w:t xml:space="preserve">replaced with </w:t>
      </w:r>
      <w:r w:rsidR="00217C4B">
        <w:t xml:space="preserve">the direct borrowing </w:t>
      </w:r>
      <w:r w:rsidR="004905D2">
        <w:t xml:space="preserve">of </w:t>
      </w:r>
      <w:r>
        <w:t xml:space="preserve">£20m </w:t>
      </w:r>
      <w:r w:rsidR="004905D2">
        <w:t xml:space="preserve">of funds to be held </w:t>
      </w:r>
      <w:r>
        <w:t>on call</w:t>
      </w:r>
      <w:r w:rsidR="004905D2">
        <w:t>, so providing an</w:t>
      </w:r>
      <w:r w:rsidR="00E016C4">
        <w:t xml:space="preserve"> equivalent liquidity position at a much reduced cost. </w:t>
      </w:r>
    </w:p>
    <w:p w:rsidR="00D0632F" w:rsidRDefault="00D0632F" w:rsidP="00D0632F">
      <w:pPr>
        <w:pStyle w:val="ListParagraph"/>
      </w:pPr>
    </w:p>
    <w:tbl>
      <w:tblPr>
        <w:tblW w:w="8244" w:type="dxa"/>
        <w:tblInd w:w="4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87"/>
        <w:gridCol w:w="1418"/>
        <w:gridCol w:w="1417"/>
        <w:gridCol w:w="1134"/>
        <w:gridCol w:w="1088"/>
      </w:tblGrid>
      <w:tr w:rsidR="00131620" w:rsidRPr="005B473A" w:rsidTr="006264D2">
        <w:tc>
          <w:tcPr>
            <w:tcW w:w="3187" w:type="dxa"/>
            <w:tcBorders>
              <w:top w:val="single" w:sz="4" w:space="0" w:color="auto"/>
            </w:tcBorders>
          </w:tcPr>
          <w:p w:rsidR="00131620" w:rsidRPr="005B473A" w:rsidRDefault="00131620" w:rsidP="004810B8"/>
        </w:tc>
        <w:tc>
          <w:tcPr>
            <w:tcW w:w="1418" w:type="dxa"/>
            <w:tcBorders>
              <w:top w:val="single" w:sz="4" w:space="0" w:color="auto"/>
            </w:tcBorders>
          </w:tcPr>
          <w:p w:rsidR="00131620" w:rsidRPr="005B473A" w:rsidRDefault="00131620" w:rsidP="005B473A">
            <w:pPr>
              <w:tabs>
                <w:tab w:val="left" w:pos="671"/>
              </w:tabs>
              <w:jc w:val="right"/>
              <w:rPr>
                <w:b/>
              </w:rPr>
            </w:pPr>
            <w:r w:rsidRPr="005B473A">
              <w:rPr>
                <w:b/>
              </w:rPr>
              <w:t>31 Mar 201</w:t>
            </w:r>
            <w:r w:rsidR="005B473A" w:rsidRPr="005B473A">
              <w:rPr>
                <w:b/>
              </w:rPr>
              <w:t>4</w:t>
            </w:r>
          </w:p>
        </w:tc>
        <w:tc>
          <w:tcPr>
            <w:tcW w:w="1417" w:type="dxa"/>
            <w:tcBorders>
              <w:top w:val="single" w:sz="4" w:space="0" w:color="auto"/>
            </w:tcBorders>
          </w:tcPr>
          <w:p w:rsidR="00131620" w:rsidRPr="005B473A" w:rsidRDefault="00131620" w:rsidP="005B473A">
            <w:pPr>
              <w:jc w:val="right"/>
              <w:rPr>
                <w:b/>
              </w:rPr>
            </w:pPr>
            <w:r w:rsidRPr="005B473A">
              <w:rPr>
                <w:b/>
              </w:rPr>
              <w:t>31 Mar 201</w:t>
            </w:r>
            <w:r w:rsidR="005B473A" w:rsidRPr="005B473A">
              <w:rPr>
                <w:b/>
              </w:rPr>
              <w:t>5</w:t>
            </w:r>
          </w:p>
        </w:tc>
        <w:tc>
          <w:tcPr>
            <w:tcW w:w="1134" w:type="dxa"/>
            <w:tcBorders>
              <w:top w:val="single" w:sz="4" w:space="0" w:color="auto"/>
            </w:tcBorders>
          </w:tcPr>
          <w:p w:rsidR="00131620" w:rsidRPr="005B473A" w:rsidRDefault="00131620" w:rsidP="005B473A">
            <w:pPr>
              <w:jc w:val="right"/>
              <w:rPr>
                <w:b/>
              </w:rPr>
            </w:pPr>
            <w:r w:rsidRPr="005B473A">
              <w:rPr>
                <w:b/>
              </w:rPr>
              <w:t>31 Mar 201</w:t>
            </w:r>
            <w:r w:rsidR="005B473A" w:rsidRPr="005B473A">
              <w:rPr>
                <w:b/>
              </w:rPr>
              <w:t>6</w:t>
            </w:r>
          </w:p>
        </w:tc>
        <w:tc>
          <w:tcPr>
            <w:tcW w:w="1088" w:type="dxa"/>
            <w:tcBorders>
              <w:top w:val="single" w:sz="4" w:space="0" w:color="auto"/>
            </w:tcBorders>
          </w:tcPr>
          <w:p w:rsidR="00131620" w:rsidRPr="005B473A" w:rsidRDefault="00131620" w:rsidP="005B473A">
            <w:pPr>
              <w:ind w:right="-13"/>
              <w:jc w:val="right"/>
              <w:rPr>
                <w:b/>
              </w:rPr>
            </w:pPr>
            <w:r w:rsidRPr="005B473A">
              <w:rPr>
                <w:b/>
              </w:rPr>
              <w:t>31 Mar 201</w:t>
            </w:r>
            <w:r w:rsidR="005B473A" w:rsidRPr="005B473A">
              <w:rPr>
                <w:b/>
              </w:rPr>
              <w:t>7</w:t>
            </w:r>
          </w:p>
        </w:tc>
      </w:tr>
      <w:tr w:rsidR="00131620" w:rsidRPr="005B473A" w:rsidTr="006264D2">
        <w:tc>
          <w:tcPr>
            <w:tcW w:w="3187" w:type="dxa"/>
          </w:tcPr>
          <w:p w:rsidR="00131620" w:rsidRPr="005B473A" w:rsidRDefault="00131620" w:rsidP="004810B8">
            <w:pPr>
              <w:rPr>
                <w:b/>
              </w:rPr>
            </w:pPr>
            <w:r w:rsidRPr="005B473A">
              <w:rPr>
                <w:b/>
              </w:rPr>
              <w:t xml:space="preserve"> </w:t>
            </w:r>
          </w:p>
        </w:tc>
        <w:tc>
          <w:tcPr>
            <w:tcW w:w="1418" w:type="dxa"/>
          </w:tcPr>
          <w:p w:rsidR="00131620" w:rsidRPr="005B473A" w:rsidRDefault="00131620" w:rsidP="00094F92">
            <w:pPr>
              <w:tabs>
                <w:tab w:val="left" w:pos="671"/>
              </w:tabs>
              <w:jc w:val="center"/>
              <w:rPr>
                <w:b/>
              </w:rPr>
            </w:pPr>
            <w:r w:rsidRPr="005B473A">
              <w:rPr>
                <w:b/>
              </w:rPr>
              <w:t xml:space="preserve">        £m</w:t>
            </w:r>
          </w:p>
        </w:tc>
        <w:tc>
          <w:tcPr>
            <w:tcW w:w="1417" w:type="dxa"/>
          </w:tcPr>
          <w:p w:rsidR="00131620" w:rsidRPr="005B473A" w:rsidRDefault="00131620" w:rsidP="00094F92">
            <w:pPr>
              <w:jc w:val="center"/>
              <w:rPr>
                <w:b/>
              </w:rPr>
            </w:pPr>
            <w:r w:rsidRPr="005B473A">
              <w:rPr>
                <w:b/>
              </w:rPr>
              <w:t xml:space="preserve">        £m</w:t>
            </w:r>
          </w:p>
        </w:tc>
        <w:tc>
          <w:tcPr>
            <w:tcW w:w="1134" w:type="dxa"/>
          </w:tcPr>
          <w:p w:rsidR="00131620" w:rsidRPr="005B473A" w:rsidRDefault="00131620" w:rsidP="00094F92">
            <w:pPr>
              <w:jc w:val="center"/>
              <w:rPr>
                <w:b/>
              </w:rPr>
            </w:pPr>
            <w:r w:rsidRPr="005B473A">
              <w:rPr>
                <w:b/>
              </w:rPr>
              <w:t xml:space="preserve">     £m</w:t>
            </w:r>
          </w:p>
        </w:tc>
        <w:tc>
          <w:tcPr>
            <w:tcW w:w="1088" w:type="dxa"/>
          </w:tcPr>
          <w:p w:rsidR="00131620" w:rsidRPr="005B473A" w:rsidRDefault="00131620" w:rsidP="00094F92">
            <w:pPr>
              <w:ind w:right="-13"/>
              <w:jc w:val="center"/>
              <w:rPr>
                <w:b/>
              </w:rPr>
            </w:pPr>
            <w:r w:rsidRPr="005B473A">
              <w:rPr>
                <w:b/>
              </w:rPr>
              <w:t xml:space="preserve">      £m</w:t>
            </w:r>
          </w:p>
        </w:tc>
      </w:tr>
      <w:tr w:rsidR="00131620" w:rsidRPr="005B473A" w:rsidTr="006264D2">
        <w:tc>
          <w:tcPr>
            <w:tcW w:w="3187" w:type="dxa"/>
          </w:tcPr>
          <w:p w:rsidR="00131620" w:rsidRPr="005B473A" w:rsidRDefault="00131620" w:rsidP="004810B8"/>
        </w:tc>
        <w:tc>
          <w:tcPr>
            <w:tcW w:w="1418" w:type="dxa"/>
          </w:tcPr>
          <w:p w:rsidR="00131620" w:rsidRPr="005B473A" w:rsidRDefault="00131620" w:rsidP="004A19C1">
            <w:pPr>
              <w:tabs>
                <w:tab w:val="left" w:pos="671"/>
              </w:tabs>
              <w:jc w:val="right"/>
            </w:pPr>
          </w:p>
        </w:tc>
        <w:tc>
          <w:tcPr>
            <w:tcW w:w="1417" w:type="dxa"/>
          </w:tcPr>
          <w:p w:rsidR="00131620" w:rsidRPr="005B473A" w:rsidRDefault="00131620" w:rsidP="004A19C1">
            <w:pPr>
              <w:jc w:val="right"/>
            </w:pPr>
          </w:p>
        </w:tc>
        <w:tc>
          <w:tcPr>
            <w:tcW w:w="1134" w:type="dxa"/>
          </w:tcPr>
          <w:p w:rsidR="00131620" w:rsidRPr="005B473A" w:rsidRDefault="00131620" w:rsidP="004A19C1">
            <w:pPr>
              <w:jc w:val="right"/>
            </w:pPr>
          </w:p>
        </w:tc>
        <w:tc>
          <w:tcPr>
            <w:tcW w:w="1088" w:type="dxa"/>
          </w:tcPr>
          <w:p w:rsidR="00131620" w:rsidRPr="005B473A" w:rsidRDefault="00131620" w:rsidP="006D1BFA">
            <w:pPr>
              <w:ind w:right="-13"/>
              <w:jc w:val="right"/>
            </w:pPr>
          </w:p>
        </w:tc>
      </w:tr>
      <w:tr w:rsidR="00131620" w:rsidRPr="005B473A" w:rsidTr="006264D2">
        <w:tc>
          <w:tcPr>
            <w:tcW w:w="3187" w:type="dxa"/>
          </w:tcPr>
          <w:p w:rsidR="00131620" w:rsidRPr="005B473A" w:rsidRDefault="00131620" w:rsidP="004810B8">
            <w:r w:rsidRPr="005B473A">
              <w:t>Capital Financing Requirement</w:t>
            </w:r>
            <w:r w:rsidR="00D0632F">
              <w:t xml:space="preserve"> (CFR)</w:t>
            </w:r>
          </w:p>
        </w:tc>
        <w:tc>
          <w:tcPr>
            <w:tcW w:w="1418" w:type="dxa"/>
          </w:tcPr>
          <w:p w:rsidR="00131620" w:rsidRPr="005B473A" w:rsidRDefault="00131620" w:rsidP="004A19C1">
            <w:pPr>
              <w:tabs>
                <w:tab w:val="left" w:pos="671"/>
              </w:tabs>
              <w:jc w:val="right"/>
            </w:pPr>
          </w:p>
          <w:p w:rsidR="00131620" w:rsidRPr="005B473A" w:rsidRDefault="005B473A" w:rsidP="00E016C4">
            <w:pPr>
              <w:tabs>
                <w:tab w:val="left" w:pos="671"/>
              </w:tabs>
              <w:jc w:val="right"/>
            </w:pPr>
            <w:r w:rsidRPr="005B473A">
              <w:t>1,</w:t>
            </w:r>
            <w:r w:rsidR="00E016C4" w:rsidRPr="005B473A">
              <w:t>0</w:t>
            </w:r>
            <w:r w:rsidR="00E016C4">
              <w:t>38</w:t>
            </w:r>
          </w:p>
        </w:tc>
        <w:tc>
          <w:tcPr>
            <w:tcW w:w="1417" w:type="dxa"/>
          </w:tcPr>
          <w:p w:rsidR="00131620" w:rsidRPr="005B473A" w:rsidRDefault="00131620" w:rsidP="004A19C1">
            <w:pPr>
              <w:jc w:val="right"/>
            </w:pPr>
          </w:p>
          <w:p w:rsidR="00131620" w:rsidRPr="005B473A" w:rsidRDefault="005B473A" w:rsidP="00FD2EAA">
            <w:pPr>
              <w:jc w:val="right"/>
            </w:pPr>
            <w:r w:rsidRPr="005B473A">
              <w:t>1,</w:t>
            </w:r>
            <w:r w:rsidR="00FD2EAA" w:rsidRPr="005B473A">
              <w:t>0</w:t>
            </w:r>
            <w:r w:rsidR="00FD2EAA">
              <w:t>47</w:t>
            </w:r>
          </w:p>
        </w:tc>
        <w:tc>
          <w:tcPr>
            <w:tcW w:w="1134" w:type="dxa"/>
          </w:tcPr>
          <w:p w:rsidR="00131620" w:rsidRPr="005B473A" w:rsidRDefault="00131620" w:rsidP="004A19C1">
            <w:pPr>
              <w:jc w:val="right"/>
            </w:pPr>
          </w:p>
          <w:p w:rsidR="00131620" w:rsidRPr="005B473A" w:rsidRDefault="005B473A" w:rsidP="00FD2EAA">
            <w:pPr>
              <w:jc w:val="right"/>
            </w:pPr>
            <w:r w:rsidRPr="005B473A">
              <w:t>1,</w:t>
            </w:r>
            <w:r w:rsidR="00FD2EAA" w:rsidRPr="005B473A">
              <w:t>0</w:t>
            </w:r>
            <w:r w:rsidR="00FD2EAA">
              <w:t>79</w:t>
            </w:r>
          </w:p>
        </w:tc>
        <w:tc>
          <w:tcPr>
            <w:tcW w:w="1088" w:type="dxa"/>
          </w:tcPr>
          <w:p w:rsidR="00131620" w:rsidRPr="005B473A" w:rsidRDefault="00131620" w:rsidP="004A19C1">
            <w:pPr>
              <w:ind w:right="-13"/>
              <w:jc w:val="right"/>
            </w:pPr>
          </w:p>
          <w:p w:rsidR="00131620" w:rsidRPr="005B473A" w:rsidRDefault="00FD2EAA" w:rsidP="00C6577B">
            <w:pPr>
              <w:ind w:right="-13"/>
              <w:jc w:val="right"/>
            </w:pPr>
            <w:r>
              <w:t>1071</w:t>
            </w:r>
          </w:p>
        </w:tc>
      </w:tr>
      <w:tr w:rsidR="00131620" w:rsidRPr="005B473A" w:rsidTr="006264D2">
        <w:tc>
          <w:tcPr>
            <w:tcW w:w="3187" w:type="dxa"/>
          </w:tcPr>
          <w:p w:rsidR="00131620" w:rsidRPr="005B473A" w:rsidRDefault="00131620" w:rsidP="00094F92">
            <w:r w:rsidRPr="005B473A">
              <w:t>Less PFI liability</w:t>
            </w:r>
          </w:p>
        </w:tc>
        <w:tc>
          <w:tcPr>
            <w:tcW w:w="1418" w:type="dxa"/>
          </w:tcPr>
          <w:p w:rsidR="00131620" w:rsidRPr="005B473A" w:rsidRDefault="005B473A" w:rsidP="004A19C1">
            <w:pPr>
              <w:tabs>
                <w:tab w:val="left" w:pos="671"/>
              </w:tabs>
              <w:jc w:val="right"/>
            </w:pPr>
            <w:r w:rsidRPr="005B473A">
              <w:t>402</w:t>
            </w:r>
          </w:p>
        </w:tc>
        <w:tc>
          <w:tcPr>
            <w:tcW w:w="1417" w:type="dxa"/>
          </w:tcPr>
          <w:p w:rsidR="00131620" w:rsidRPr="005B473A" w:rsidRDefault="005B473A" w:rsidP="004A19C1">
            <w:pPr>
              <w:jc w:val="right"/>
            </w:pPr>
            <w:r w:rsidRPr="005B473A">
              <w:t>395</w:t>
            </w:r>
          </w:p>
        </w:tc>
        <w:tc>
          <w:tcPr>
            <w:tcW w:w="1134" w:type="dxa"/>
          </w:tcPr>
          <w:p w:rsidR="00131620" w:rsidRPr="005B473A" w:rsidRDefault="005B473A" w:rsidP="006842DD">
            <w:pPr>
              <w:jc w:val="right"/>
            </w:pPr>
            <w:r w:rsidRPr="005B473A">
              <w:t>388</w:t>
            </w:r>
          </w:p>
        </w:tc>
        <w:tc>
          <w:tcPr>
            <w:tcW w:w="1088" w:type="dxa"/>
          </w:tcPr>
          <w:p w:rsidR="00131620" w:rsidRPr="005B473A" w:rsidRDefault="005B473A" w:rsidP="004A19C1">
            <w:pPr>
              <w:ind w:right="-13"/>
              <w:jc w:val="right"/>
            </w:pPr>
            <w:r w:rsidRPr="005B473A">
              <w:t>381</w:t>
            </w:r>
          </w:p>
        </w:tc>
      </w:tr>
      <w:tr w:rsidR="00131620" w:rsidRPr="005B473A" w:rsidTr="006264D2">
        <w:tc>
          <w:tcPr>
            <w:tcW w:w="3187" w:type="dxa"/>
          </w:tcPr>
          <w:p w:rsidR="00131620" w:rsidRPr="005B473A" w:rsidRDefault="00131620" w:rsidP="004810B8"/>
        </w:tc>
        <w:tc>
          <w:tcPr>
            <w:tcW w:w="1418" w:type="dxa"/>
          </w:tcPr>
          <w:p w:rsidR="00131620" w:rsidRPr="005B473A" w:rsidRDefault="00131620" w:rsidP="004A19C1">
            <w:pPr>
              <w:tabs>
                <w:tab w:val="left" w:pos="671"/>
              </w:tabs>
              <w:jc w:val="right"/>
            </w:pPr>
          </w:p>
        </w:tc>
        <w:tc>
          <w:tcPr>
            <w:tcW w:w="1417" w:type="dxa"/>
          </w:tcPr>
          <w:p w:rsidR="00131620" w:rsidRPr="005B473A" w:rsidRDefault="00131620" w:rsidP="004A19C1">
            <w:pPr>
              <w:jc w:val="right"/>
            </w:pPr>
          </w:p>
        </w:tc>
        <w:tc>
          <w:tcPr>
            <w:tcW w:w="1134" w:type="dxa"/>
          </w:tcPr>
          <w:p w:rsidR="00131620" w:rsidRPr="005B473A" w:rsidRDefault="00131620" w:rsidP="004A19C1">
            <w:pPr>
              <w:jc w:val="right"/>
            </w:pPr>
          </w:p>
        </w:tc>
        <w:tc>
          <w:tcPr>
            <w:tcW w:w="1088" w:type="dxa"/>
          </w:tcPr>
          <w:p w:rsidR="00131620" w:rsidRPr="005B473A" w:rsidRDefault="00131620" w:rsidP="004A19C1">
            <w:pPr>
              <w:ind w:right="-13"/>
              <w:jc w:val="right"/>
            </w:pPr>
          </w:p>
        </w:tc>
      </w:tr>
      <w:tr w:rsidR="00131620" w:rsidRPr="005B473A" w:rsidTr="006264D2">
        <w:tc>
          <w:tcPr>
            <w:tcW w:w="3187" w:type="dxa"/>
          </w:tcPr>
          <w:p w:rsidR="00131620" w:rsidRPr="005B473A" w:rsidRDefault="00131620" w:rsidP="004810B8">
            <w:r w:rsidRPr="005B473A">
              <w:t>Borrowing CFR</w:t>
            </w:r>
          </w:p>
        </w:tc>
        <w:tc>
          <w:tcPr>
            <w:tcW w:w="1418" w:type="dxa"/>
          </w:tcPr>
          <w:p w:rsidR="00131620" w:rsidRPr="005B473A" w:rsidRDefault="00E016C4" w:rsidP="00E016C4">
            <w:pPr>
              <w:tabs>
                <w:tab w:val="left" w:pos="671"/>
              </w:tabs>
              <w:jc w:val="right"/>
            </w:pPr>
            <w:r w:rsidRPr="005B473A">
              <w:t>63</w:t>
            </w:r>
            <w:r>
              <w:t>6</w:t>
            </w:r>
          </w:p>
        </w:tc>
        <w:tc>
          <w:tcPr>
            <w:tcW w:w="1417" w:type="dxa"/>
          </w:tcPr>
          <w:p w:rsidR="00131620" w:rsidRPr="005B473A" w:rsidRDefault="00E016C4" w:rsidP="00E016C4">
            <w:pPr>
              <w:jc w:val="right"/>
            </w:pPr>
            <w:r w:rsidRPr="005B473A">
              <w:t>6</w:t>
            </w:r>
            <w:r>
              <w:t>45</w:t>
            </w:r>
          </w:p>
        </w:tc>
        <w:tc>
          <w:tcPr>
            <w:tcW w:w="1134" w:type="dxa"/>
          </w:tcPr>
          <w:p w:rsidR="00131620" w:rsidRPr="005B473A" w:rsidRDefault="00E016C4" w:rsidP="00E016C4">
            <w:pPr>
              <w:jc w:val="right"/>
            </w:pPr>
            <w:r w:rsidRPr="005B473A">
              <w:t>6</w:t>
            </w:r>
            <w:r>
              <w:t>77</w:t>
            </w:r>
          </w:p>
        </w:tc>
        <w:tc>
          <w:tcPr>
            <w:tcW w:w="1088" w:type="dxa"/>
          </w:tcPr>
          <w:p w:rsidR="00131620" w:rsidRPr="005B473A" w:rsidRDefault="00E016C4" w:rsidP="00C6577B">
            <w:pPr>
              <w:ind w:right="-13"/>
              <w:jc w:val="right"/>
            </w:pPr>
            <w:r>
              <w:t>669</w:t>
            </w:r>
          </w:p>
        </w:tc>
      </w:tr>
      <w:tr w:rsidR="00131620" w:rsidRPr="001143BB" w:rsidTr="006264D2">
        <w:tc>
          <w:tcPr>
            <w:tcW w:w="3187" w:type="dxa"/>
            <w:tcBorders>
              <w:bottom w:val="nil"/>
            </w:tcBorders>
          </w:tcPr>
          <w:p w:rsidR="00131620" w:rsidRPr="001143BB" w:rsidRDefault="00131620" w:rsidP="004810B8">
            <w:pPr>
              <w:rPr>
                <w:highlight w:val="yellow"/>
              </w:rPr>
            </w:pPr>
          </w:p>
        </w:tc>
        <w:tc>
          <w:tcPr>
            <w:tcW w:w="1418" w:type="dxa"/>
            <w:tcBorders>
              <w:bottom w:val="nil"/>
            </w:tcBorders>
          </w:tcPr>
          <w:p w:rsidR="00131620" w:rsidRPr="001143BB" w:rsidRDefault="00131620" w:rsidP="004A19C1">
            <w:pPr>
              <w:tabs>
                <w:tab w:val="left" w:pos="671"/>
              </w:tabs>
              <w:jc w:val="right"/>
              <w:rPr>
                <w:highlight w:val="yellow"/>
              </w:rPr>
            </w:pPr>
          </w:p>
        </w:tc>
        <w:tc>
          <w:tcPr>
            <w:tcW w:w="1417" w:type="dxa"/>
            <w:tcBorders>
              <w:bottom w:val="nil"/>
            </w:tcBorders>
          </w:tcPr>
          <w:p w:rsidR="00131620" w:rsidRPr="001143BB" w:rsidRDefault="00131620" w:rsidP="004A19C1">
            <w:pPr>
              <w:jc w:val="right"/>
              <w:rPr>
                <w:highlight w:val="yellow"/>
              </w:rPr>
            </w:pPr>
          </w:p>
        </w:tc>
        <w:tc>
          <w:tcPr>
            <w:tcW w:w="1134" w:type="dxa"/>
            <w:tcBorders>
              <w:bottom w:val="nil"/>
            </w:tcBorders>
          </w:tcPr>
          <w:p w:rsidR="00131620" w:rsidRPr="001143BB" w:rsidRDefault="00131620" w:rsidP="004A19C1">
            <w:pPr>
              <w:jc w:val="right"/>
              <w:rPr>
                <w:highlight w:val="yellow"/>
              </w:rPr>
            </w:pPr>
          </w:p>
        </w:tc>
        <w:tc>
          <w:tcPr>
            <w:tcW w:w="1088" w:type="dxa"/>
            <w:tcBorders>
              <w:bottom w:val="nil"/>
            </w:tcBorders>
          </w:tcPr>
          <w:p w:rsidR="00131620" w:rsidRPr="001143BB" w:rsidRDefault="00131620" w:rsidP="004A19C1">
            <w:pPr>
              <w:ind w:right="-13"/>
              <w:jc w:val="right"/>
              <w:rPr>
                <w:highlight w:val="yellow"/>
              </w:rPr>
            </w:pPr>
          </w:p>
        </w:tc>
      </w:tr>
      <w:tr w:rsidR="00131620" w:rsidRPr="001143BB" w:rsidTr="006264D2">
        <w:tc>
          <w:tcPr>
            <w:tcW w:w="3187" w:type="dxa"/>
            <w:tcBorders>
              <w:top w:val="nil"/>
              <w:bottom w:val="single" w:sz="4" w:space="0" w:color="auto"/>
            </w:tcBorders>
          </w:tcPr>
          <w:p w:rsidR="006264D2" w:rsidRDefault="00131620" w:rsidP="00E56B9C">
            <w:r w:rsidRPr="00F0114F">
              <w:t>Loans Borrowed</w:t>
            </w:r>
          </w:p>
          <w:p w:rsidR="00131620" w:rsidRPr="00F0114F" w:rsidRDefault="00131620" w:rsidP="006264D2">
            <w:r w:rsidRPr="00F0114F">
              <w:t>(31</w:t>
            </w:r>
            <w:r w:rsidR="00E56B9C" w:rsidRPr="00F0114F">
              <w:t>March estimate</w:t>
            </w:r>
            <w:r w:rsidRPr="00F0114F">
              <w:t>)</w:t>
            </w:r>
          </w:p>
        </w:tc>
        <w:tc>
          <w:tcPr>
            <w:tcW w:w="1418" w:type="dxa"/>
            <w:tcBorders>
              <w:top w:val="nil"/>
              <w:bottom w:val="single" w:sz="4" w:space="0" w:color="auto"/>
            </w:tcBorders>
          </w:tcPr>
          <w:p w:rsidR="00131620" w:rsidRPr="00F0114F" w:rsidRDefault="00E016C4" w:rsidP="004A19C1">
            <w:pPr>
              <w:tabs>
                <w:tab w:val="left" w:pos="671"/>
              </w:tabs>
              <w:jc w:val="right"/>
            </w:pPr>
            <w:r>
              <w:t>806</w:t>
            </w:r>
          </w:p>
        </w:tc>
        <w:tc>
          <w:tcPr>
            <w:tcW w:w="1417" w:type="dxa"/>
            <w:tcBorders>
              <w:top w:val="nil"/>
              <w:bottom w:val="single" w:sz="4" w:space="0" w:color="auto"/>
            </w:tcBorders>
          </w:tcPr>
          <w:p w:rsidR="00131620" w:rsidRPr="00F0114F" w:rsidRDefault="00E016C4" w:rsidP="00C6577B">
            <w:pPr>
              <w:jc w:val="right"/>
            </w:pPr>
            <w:r>
              <w:t>815</w:t>
            </w:r>
          </w:p>
        </w:tc>
        <w:tc>
          <w:tcPr>
            <w:tcW w:w="1134" w:type="dxa"/>
            <w:tcBorders>
              <w:top w:val="nil"/>
              <w:bottom w:val="single" w:sz="4" w:space="0" w:color="auto"/>
            </w:tcBorders>
          </w:tcPr>
          <w:p w:rsidR="00131620" w:rsidRPr="00F0114F" w:rsidRDefault="00E016C4" w:rsidP="00C6577B">
            <w:pPr>
              <w:jc w:val="right"/>
            </w:pPr>
            <w:r>
              <w:t>847</w:t>
            </w:r>
          </w:p>
        </w:tc>
        <w:tc>
          <w:tcPr>
            <w:tcW w:w="1088" w:type="dxa"/>
            <w:tcBorders>
              <w:top w:val="nil"/>
              <w:bottom w:val="single" w:sz="4" w:space="0" w:color="auto"/>
            </w:tcBorders>
          </w:tcPr>
          <w:p w:rsidR="00131620" w:rsidRPr="00F0114F" w:rsidRDefault="00E016C4" w:rsidP="00C6577B">
            <w:pPr>
              <w:ind w:right="-13"/>
              <w:jc w:val="right"/>
            </w:pPr>
            <w:r>
              <w:t>839</w:t>
            </w:r>
          </w:p>
        </w:tc>
      </w:tr>
      <w:tr w:rsidR="00131620" w:rsidRPr="001143BB" w:rsidTr="006264D2">
        <w:trPr>
          <w:trHeight w:val="329"/>
        </w:trPr>
        <w:tc>
          <w:tcPr>
            <w:tcW w:w="3187" w:type="dxa"/>
            <w:tcBorders>
              <w:top w:val="single" w:sz="4" w:space="0" w:color="auto"/>
            </w:tcBorders>
          </w:tcPr>
          <w:p w:rsidR="00131620" w:rsidRPr="00F0114F" w:rsidRDefault="00131620" w:rsidP="004810B8"/>
        </w:tc>
        <w:tc>
          <w:tcPr>
            <w:tcW w:w="1418" w:type="dxa"/>
            <w:tcBorders>
              <w:top w:val="single" w:sz="4" w:space="0" w:color="auto"/>
            </w:tcBorders>
          </w:tcPr>
          <w:p w:rsidR="00131620" w:rsidRPr="00F0114F" w:rsidRDefault="00131620" w:rsidP="004A19C1">
            <w:pPr>
              <w:tabs>
                <w:tab w:val="left" w:pos="671"/>
              </w:tabs>
              <w:jc w:val="right"/>
            </w:pPr>
          </w:p>
        </w:tc>
        <w:tc>
          <w:tcPr>
            <w:tcW w:w="1417" w:type="dxa"/>
            <w:tcBorders>
              <w:top w:val="single" w:sz="4" w:space="0" w:color="auto"/>
            </w:tcBorders>
          </w:tcPr>
          <w:p w:rsidR="00131620" w:rsidRPr="00F0114F" w:rsidRDefault="00131620" w:rsidP="004A19C1">
            <w:pPr>
              <w:jc w:val="right"/>
            </w:pPr>
          </w:p>
        </w:tc>
        <w:tc>
          <w:tcPr>
            <w:tcW w:w="1134" w:type="dxa"/>
            <w:tcBorders>
              <w:top w:val="single" w:sz="4" w:space="0" w:color="auto"/>
            </w:tcBorders>
          </w:tcPr>
          <w:p w:rsidR="00131620" w:rsidRPr="00F0114F" w:rsidRDefault="00131620" w:rsidP="004A19C1">
            <w:pPr>
              <w:jc w:val="right"/>
            </w:pPr>
          </w:p>
        </w:tc>
        <w:tc>
          <w:tcPr>
            <w:tcW w:w="1088" w:type="dxa"/>
            <w:tcBorders>
              <w:top w:val="single" w:sz="4" w:space="0" w:color="auto"/>
            </w:tcBorders>
          </w:tcPr>
          <w:p w:rsidR="00131620" w:rsidRPr="00F0114F" w:rsidRDefault="00131620" w:rsidP="004A19C1">
            <w:pPr>
              <w:ind w:right="-13"/>
              <w:jc w:val="right"/>
            </w:pPr>
          </w:p>
        </w:tc>
      </w:tr>
      <w:tr w:rsidR="00131620" w:rsidRPr="001143BB" w:rsidTr="006264D2">
        <w:tc>
          <w:tcPr>
            <w:tcW w:w="3187" w:type="dxa"/>
          </w:tcPr>
          <w:p w:rsidR="00131620" w:rsidRPr="00F0114F" w:rsidRDefault="00131620" w:rsidP="006D1BFA">
            <w:pPr>
              <w:rPr>
                <w:b/>
              </w:rPr>
            </w:pPr>
            <w:r w:rsidRPr="00F0114F">
              <w:rPr>
                <w:b/>
              </w:rPr>
              <w:t>Borrowing Above CFR</w:t>
            </w:r>
          </w:p>
        </w:tc>
        <w:tc>
          <w:tcPr>
            <w:tcW w:w="1418" w:type="dxa"/>
          </w:tcPr>
          <w:p w:rsidR="00131620" w:rsidRPr="00F0114F" w:rsidRDefault="00E016C4" w:rsidP="00E016C4">
            <w:pPr>
              <w:tabs>
                <w:tab w:val="left" w:pos="671"/>
              </w:tabs>
              <w:jc w:val="right"/>
              <w:rPr>
                <w:b/>
              </w:rPr>
            </w:pPr>
            <w:r>
              <w:rPr>
                <w:b/>
              </w:rPr>
              <w:t>170</w:t>
            </w:r>
          </w:p>
        </w:tc>
        <w:tc>
          <w:tcPr>
            <w:tcW w:w="1417" w:type="dxa"/>
          </w:tcPr>
          <w:p w:rsidR="00131620" w:rsidRPr="00F0114F" w:rsidRDefault="00E016C4" w:rsidP="00E016C4">
            <w:pPr>
              <w:jc w:val="right"/>
              <w:rPr>
                <w:b/>
              </w:rPr>
            </w:pPr>
            <w:r w:rsidRPr="00F0114F">
              <w:rPr>
                <w:b/>
              </w:rPr>
              <w:t>1</w:t>
            </w:r>
            <w:r>
              <w:rPr>
                <w:b/>
              </w:rPr>
              <w:t>7</w:t>
            </w:r>
            <w:r w:rsidRPr="00F0114F">
              <w:rPr>
                <w:b/>
              </w:rPr>
              <w:t>0</w:t>
            </w:r>
          </w:p>
        </w:tc>
        <w:tc>
          <w:tcPr>
            <w:tcW w:w="1134" w:type="dxa"/>
          </w:tcPr>
          <w:p w:rsidR="00131620" w:rsidRPr="00F0114F" w:rsidRDefault="00E016C4" w:rsidP="00E016C4">
            <w:pPr>
              <w:jc w:val="right"/>
              <w:rPr>
                <w:b/>
              </w:rPr>
            </w:pPr>
            <w:r w:rsidRPr="00F0114F">
              <w:rPr>
                <w:b/>
              </w:rPr>
              <w:t>1</w:t>
            </w:r>
            <w:r>
              <w:rPr>
                <w:b/>
              </w:rPr>
              <w:t>7</w:t>
            </w:r>
            <w:r w:rsidRPr="00F0114F">
              <w:rPr>
                <w:b/>
              </w:rPr>
              <w:t>0</w:t>
            </w:r>
          </w:p>
        </w:tc>
        <w:tc>
          <w:tcPr>
            <w:tcW w:w="1088" w:type="dxa"/>
          </w:tcPr>
          <w:p w:rsidR="00131620" w:rsidRPr="00F0114F" w:rsidRDefault="00E016C4" w:rsidP="00E016C4">
            <w:pPr>
              <w:ind w:right="-13"/>
              <w:jc w:val="right"/>
              <w:rPr>
                <w:b/>
              </w:rPr>
            </w:pPr>
            <w:r w:rsidRPr="00F0114F">
              <w:rPr>
                <w:b/>
              </w:rPr>
              <w:t>1</w:t>
            </w:r>
            <w:r>
              <w:rPr>
                <w:b/>
              </w:rPr>
              <w:t>7</w:t>
            </w:r>
            <w:r w:rsidRPr="00F0114F">
              <w:rPr>
                <w:b/>
              </w:rPr>
              <w:t>0</w:t>
            </w:r>
          </w:p>
        </w:tc>
      </w:tr>
      <w:tr w:rsidR="00131620" w:rsidRPr="001143BB" w:rsidTr="006264D2">
        <w:tc>
          <w:tcPr>
            <w:tcW w:w="3187" w:type="dxa"/>
          </w:tcPr>
          <w:p w:rsidR="00131620" w:rsidRPr="00F0114F" w:rsidRDefault="00131620" w:rsidP="004810B8"/>
        </w:tc>
        <w:tc>
          <w:tcPr>
            <w:tcW w:w="1418" w:type="dxa"/>
          </w:tcPr>
          <w:p w:rsidR="00131620" w:rsidRPr="00F0114F" w:rsidRDefault="00131620" w:rsidP="004A19C1">
            <w:pPr>
              <w:tabs>
                <w:tab w:val="left" w:pos="671"/>
              </w:tabs>
              <w:jc w:val="right"/>
            </w:pPr>
          </w:p>
        </w:tc>
        <w:tc>
          <w:tcPr>
            <w:tcW w:w="1417" w:type="dxa"/>
          </w:tcPr>
          <w:p w:rsidR="00131620" w:rsidRPr="00F0114F" w:rsidRDefault="00131620" w:rsidP="004A19C1">
            <w:pPr>
              <w:jc w:val="right"/>
            </w:pPr>
          </w:p>
        </w:tc>
        <w:tc>
          <w:tcPr>
            <w:tcW w:w="1134" w:type="dxa"/>
          </w:tcPr>
          <w:p w:rsidR="00131620" w:rsidRPr="00F0114F" w:rsidRDefault="00131620" w:rsidP="004A19C1">
            <w:pPr>
              <w:jc w:val="right"/>
            </w:pPr>
          </w:p>
        </w:tc>
        <w:tc>
          <w:tcPr>
            <w:tcW w:w="1088" w:type="dxa"/>
          </w:tcPr>
          <w:p w:rsidR="00131620" w:rsidRPr="00F0114F" w:rsidRDefault="00131620" w:rsidP="004A19C1">
            <w:pPr>
              <w:ind w:right="-13"/>
              <w:jc w:val="right"/>
            </w:pPr>
          </w:p>
        </w:tc>
      </w:tr>
      <w:tr w:rsidR="00131620" w:rsidRPr="001143BB" w:rsidTr="006264D2">
        <w:tc>
          <w:tcPr>
            <w:tcW w:w="3187" w:type="dxa"/>
          </w:tcPr>
          <w:p w:rsidR="00131620" w:rsidRPr="00F0114F" w:rsidRDefault="00131620" w:rsidP="004810B8">
            <w:pPr>
              <w:rPr>
                <w:i/>
              </w:rPr>
            </w:pPr>
            <w:r w:rsidRPr="00F0114F">
              <w:rPr>
                <w:i/>
              </w:rPr>
              <w:t>Comprising:</w:t>
            </w:r>
          </w:p>
        </w:tc>
        <w:tc>
          <w:tcPr>
            <w:tcW w:w="1418" w:type="dxa"/>
          </w:tcPr>
          <w:p w:rsidR="00131620" w:rsidRPr="00F0114F" w:rsidRDefault="00131620" w:rsidP="006D1BFA">
            <w:pPr>
              <w:tabs>
                <w:tab w:val="left" w:pos="671"/>
              </w:tabs>
              <w:jc w:val="right"/>
            </w:pPr>
          </w:p>
        </w:tc>
        <w:tc>
          <w:tcPr>
            <w:tcW w:w="1417" w:type="dxa"/>
          </w:tcPr>
          <w:p w:rsidR="00131620" w:rsidRPr="00F0114F" w:rsidRDefault="00131620" w:rsidP="006D1BFA">
            <w:pPr>
              <w:jc w:val="right"/>
            </w:pPr>
          </w:p>
        </w:tc>
        <w:tc>
          <w:tcPr>
            <w:tcW w:w="1134" w:type="dxa"/>
          </w:tcPr>
          <w:p w:rsidR="00131620" w:rsidRPr="00F0114F" w:rsidRDefault="00131620" w:rsidP="006D1BFA">
            <w:pPr>
              <w:jc w:val="right"/>
            </w:pPr>
          </w:p>
        </w:tc>
        <w:tc>
          <w:tcPr>
            <w:tcW w:w="1088" w:type="dxa"/>
          </w:tcPr>
          <w:p w:rsidR="00131620" w:rsidRPr="00F0114F" w:rsidRDefault="00131620" w:rsidP="006D1BFA">
            <w:pPr>
              <w:ind w:right="-13"/>
              <w:jc w:val="right"/>
            </w:pPr>
          </w:p>
        </w:tc>
      </w:tr>
      <w:tr w:rsidR="00131620" w:rsidRPr="001143BB" w:rsidTr="006264D2">
        <w:tc>
          <w:tcPr>
            <w:tcW w:w="3187" w:type="dxa"/>
          </w:tcPr>
          <w:p w:rsidR="00131620" w:rsidRPr="00F0114F" w:rsidRDefault="00131620" w:rsidP="004810B8">
            <w:r w:rsidRPr="00F0114F">
              <w:t>Shared Investment Scheme</w:t>
            </w:r>
          </w:p>
        </w:tc>
        <w:tc>
          <w:tcPr>
            <w:tcW w:w="1418" w:type="dxa"/>
          </w:tcPr>
          <w:p w:rsidR="00131620" w:rsidRPr="00F0114F" w:rsidRDefault="00F0114F" w:rsidP="00C6577B">
            <w:pPr>
              <w:tabs>
                <w:tab w:val="left" w:pos="671"/>
              </w:tabs>
              <w:jc w:val="right"/>
            </w:pPr>
            <w:r w:rsidRPr="00F0114F">
              <w:t>150</w:t>
            </w:r>
          </w:p>
        </w:tc>
        <w:tc>
          <w:tcPr>
            <w:tcW w:w="1417" w:type="dxa"/>
          </w:tcPr>
          <w:p w:rsidR="00131620" w:rsidRPr="00F0114F" w:rsidRDefault="006842DD" w:rsidP="004A19C1">
            <w:pPr>
              <w:jc w:val="right"/>
            </w:pPr>
            <w:r w:rsidRPr="00F0114F">
              <w:t>150</w:t>
            </w:r>
          </w:p>
        </w:tc>
        <w:tc>
          <w:tcPr>
            <w:tcW w:w="1134" w:type="dxa"/>
          </w:tcPr>
          <w:p w:rsidR="00131620" w:rsidRPr="00F0114F" w:rsidRDefault="006842DD" w:rsidP="004A19C1">
            <w:pPr>
              <w:jc w:val="right"/>
            </w:pPr>
            <w:r w:rsidRPr="00F0114F">
              <w:t>150</w:t>
            </w:r>
          </w:p>
        </w:tc>
        <w:tc>
          <w:tcPr>
            <w:tcW w:w="1088" w:type="dxa"/>
          </w:tcPr>
          <w:p w:rsidR="00131620" w:rsidRPr="00F0114F" w:rsidRDefault="006842DD" w:rsidP="004A19C1">
            <w:pPr>
              <w:ind w:right="-13"/>
              <w:jc w:val="right"/>
            </w:pPr>
            <w:r w:rsidRPr="00F0114F">
              <w:t>150</w:t>
            </w:r>
          </w:p>
        </w:tc>
      </w:tr>
      <w:tr w:rsidR="00131620" w:rsidRPr="001143BB" w:rsidTr="006264D2">
        <w:tc>
          <w:tcPr>
            <w:tcW w:w="3187" w:type="dxa"/>
          </w:tcPr>
          <w:p w:rsidR="00131620" w:rsidRPr="00F0114F" w:rsidRDefault="00603B8C" w:rsidP="004810B8">
            <w:r>
              <w:t>Replacement of Overdraft Facility</w:t>
            </w:r>
            <w:r w:rsidR="00131620" w:rsidRPr="00F0114F">
              <w:t xml:space="preserve"> Borrowing</w:t>
            </w:r>
          </w:p>
        </w:tc>
        <w:tc>
          <w:tcPr>
            <w:tcW w:w="1418" w:type="dxa"/>
          </w:tcPr>
          <w:p w:rsidR="00131620" w:rsidRPr="00F0114F" w:rsidRDefault="00603B8C" w:rsidP="004A19C1">
            <w:pPr>
              <w:tabs>
                <w:tab w:val="left" w:pos="671"/>
              </w:tabs>
              <w:jc w:val="right"/>
            </w:pPr>
            <w:r>
              <w:t>20</w:t>
            </w:r>
          </w:p>
        </w:tc>
        <w:tc>
          <w:tcPr>
            <w:tcW w:w="1417" w:type="dxa"/>
          </w:tcPr>
          <w:p w:rsidR="00131620" w:rsidRPr="00F0114F" w:rsidRDefault="00603B8C" w:rsidP="004A19C1">
            <w:pPr>
              <w:jc w:val="right"/>
            </w:pPr>
            <w:r>
              <w:t>20</w:t>
            </w:r>
          </w:p>
        </w:tc>
        <w:tc>
          <w:tcPr>
            <w:tcW w:w="1134" w:type="dxa"/>
          </w:tcPr>
          <w:p w:rsidR="00131620" w:rsidRPr="00F0114F" w:rsidRDefault="00603B8C" w:rsidP="004A19C1">
            <w:pPr>
              <w:jc w:val="right"/>
            </w:pPr>
            <w:r>
              <w:t>20</w:t>
            </w:r>
          </w:p>
        </w:tc>
        <w:tc>
          <w:tcPr>
            <w:tcW w:w="1088" w:type="dxa"/>
          </w:tcPr>
          <w:p w:rsidR="00131620" w:rsidRPr="00F0114F" w:rsidRDefault="00603B8C" w:rsidP="004A19C1">
            <w:pPr>
              <w:ind w:right="-13"/>
              <w:jc w:val="right"/>
            </w:pPr>
            <w:r>
              <w:t>20</w:t>
            </w:r>
          </w:p>
        </w:tc>
      </w:tr>
      <w:tr w:rsidR="00131620" w:rsidRPr="001143BB" w:rsidTr="006264D2">
        <w:tc>
          <w:tcPr>
            <w:tcW w:w="3187" w:type="dxa"/>
            <w:tcBorders>
              <w:bottom w:val="single" w:sz="4" w:space="0" w:color="auto"/>
            </w:tcBorders>
          </w:tcPr>
          <w:p w:rsidR="00131620" w:rsidRPr="00F0114F" w:rsidRDefault="00131620" w:rsidP="004810B8">
            <w:pPr>
              <w:rPr>
                <w:b/>
              </w:rPr>
            </w:pPr>
            <w:r w:rsidRPr="00F0114F">
              <w:rPr>
                <w:b/>
              </w:rPr>
              <w:t>Total</w:t>
            </w:r>
          </w:p>
        </w:tc>
        <w:tc>
          <w:tcPr>
            <w:tcW w:w="1418" w:type="dxa"/>
            <w:tcBorders>
              <w:bottom w:val="single" w:sz="4" w:space="0" w:color="auto"/>
            </w:tcBorders>
          </w:tcPr>
          <w:p w:rsidR="00131620" w:rsidRPr="00F0114F" w:rsidRDefault="00603B8C" w:rsidP="00603B8C">
            <w:pPr>
              <w:tabs>
                <w:tab w:val="left" w:pos="671"/>
              </w:tabs>
              <w:jc w:val="right"/>
              <w:rPr>
                <w:b/>
              </w:rPr>
            </w:pPr>
            <w:r w:rsidRPr="00F0114F">
              <w:rPr>
                <w:b/>
              </w:rPr>
              <w:t>1</w:t>
            </w:r>
            <w:r>
              <w:rPr>
                <w:b/>
              </w:rPr>
              <w:t>70</w:t>
            </w:r>
          </w:p>
        </w:tc>
        <w:tc>
          <w:tcPr>
            <w:tcW w:w="1417" w:type="dxa"/>
            <w:tcBorders>
              <w:bottom w:val="single" w:sz="4" w:space="0" w:color="auto"/>
            </w:tcBorders>
          </w:tcPr>
          <w:p w:rsidR="00131620" w:rsidRPr="00F0114F" w:rsidRDefault="00603B8C" w:rsidP="00603B8C">
            <w:pPr>
              <w:jc w:val="right"/>
              <w:rPr>
                <w:b/>
              </w:rPr>
            </w:pPr>
            <w:r w:rsidRPr="00F0114F">
              <w:rPr>
                <w:b/>
              </w:rPr>
              <w:t>1</w:t>
            </w:r>
            <w:r>
              <w:rPr>
                <w:b/>
              </w:rPr>
              <w:t>7</w:t>
            </w:r>
            <w:r w:rsidRPr="00F0114F">
              <w:rPr>
                <w:b/>
              </w:rPr>
              <w:t>0</w:t>
            </w:r>
          </w:p>
        </w:tc>
        <w:tc>
          <w:tcPr>
            <w:tcW w:w="1134" w:type="dxa"/>
            <w:tcBorders>
              <w:bottom w:val="single" w:sz="4" w:space="0" w:color="auto"/>
            </w:tcBorders>
          </w:tcPr>
          <w:p w:rsidR="00131620" w:rsidRPr="00F0114F" w:rsidRDefault="00603B8C" w:rsidP="00603B8C">
            <w:pPr>
              <w:jc w:val="right"/>
              <w:rPr>
                <w:b/>
              </w:rPr>
            </w:pPr>
            <w:r w:rsidRPr="00F0114F">
              <w:rPr>
                <w:b/>
              </w:rPr>
              <w:t>1</w:t>
            </w:r>
            <w:r>
              <w:rPr>
                <w:b/>
              </w:rPr>
              <w:t>7</w:t>
            </w:r>
            <w:r w:rsidRPr="00F0114F">
              <w:rPr>
                <w:b/>
              </w:rPr>
              <w:t>0</w:t>
            </w:r>
          </w:p>
        </w:tc>
        <w:tc>
          <w:tcPr>
            <w:tcW w:w="1088" w:type="dxa"/>
            <w:tcBorders>
              <w:bottom w:val="single" w:sz="4" w:space="0" w:color="auto"/>
            </w:tcBorders>
          </w:tcPr>
          <w:p w:rsidR="00131620" w:rsidRPr="00F0114F" w:rsidRDefault="00603B8C" w:rsidP="00603B8C">
            <w:pPr>
              <w:ind w:right="-13"/>
              <w:jc w:val="right"/>
              <w:rPr>
                <w:b/>
              </w:rPr>
            </w:pPr>
            <w:r w:rsidRPr="00F0114F">
              <w:rPr>
                <w:b/>
              </w:rPr>
              <w:t>1</w:t>
            </w:r>
            <w:r>
              <w:rPr>
                <w:b/>
              </w:rPr>
              <w:t>7</w:t>
            </w:r>
            <w:r w:rsidRPr="00F0114F">
              <w:rPr>
                <w:b/>
              </w:rPr>
              <w:t>0</w:t>
            </w:r>
          </w:p>
        </w:tc>
      </w:tr>
    </w:tbl>
    <w:p w:rsidR="00AF47E6" w:rsidRPr="001143BB" w:rsidRDefault="00AF47E6" w:rsidP="0040630B">
      <w:pPr>
        <w:spacing w:after="240"/>
        <w:ind w:left="709"/>
        <w:jc w:val="both"/>
        <w:rPr>
          <w:highlight w:val="yellow"/>
        </w:rPr>
      </w:pPr>
    </w:p>
    <w:p w:rsidR="0040630B" w:rsidRPr="004B52FC" w:rsidRDefault="004B52FC" w:rsidP="004B52FC">
      <w:pPr>
        <w:pStyle w:val="ListParagraph"/>
        <w:numPr>
          <w:ilvl w:val="0"/>
          <w:numId w:val="34"/>
        </w:numPr>
        <w:spacing w:after="240"/>
        <w:rPr>
          <w:b/>
          <w:bCs/>
          <w:sz w:val="28"/>
          <w:szCs w:val="28"/>
        </w:rPr>
      </w:pPr>
      <w:r>
        <w:rPr>
          <w:b/>
          <w:bCs/>
          <w:sz w:val="28"/>
          <w:szCs w:val="28"/>
        </w:rPr>
        <w:t xml:space="preserve">The Annual </w:t>
      </w:r>
      <w:r w:rsidR="004A19C1" w:rsidRPr="004B52FC">
        <w:rPr>
          <w:b/>
          <w:bCs/>
          <w:sz w:val="28"/>
          <w:szCs w:val="28"/>
        </w:rPr>
        <w:t>Investment Strategy</w:t>
      </w:r>
    </w:p>
    <w:p w:rsidR="0040630B" w:rsidRPr="00F0114F" w:rsidRDefault="0068326C" w:rsidP="0082655F">
      <w:pPr>
        <w:jc w:val="both"/>
      </w:pPr>
      <w:r w:rsidRPr="00F0114F">
        <w:t>In making any investments of the reserves and other cash items held within its balance sheet t</w:t>
      </w:r>
      <w:r w:rsidR="0040630B" w:rsidRPr="00F0114F">
        <w:t xml:space="preserve">he </w:t>
      </w:r>
      <w:r w:rsidR="006D1BFA" w:rsidRPr="00F0114F">
        <w:t xml:space="preserve">County </w:t>
      </w:r>
      <w:r w:rsidR="0040630B" w:rsidRPr="00F0114F">
        <w:t xml:space="preserve">Council </w:t>
      </w:r>
      <w:r w:rsidRPr="00F0114F">
        <w:t>must</w:t>
      </w:r>
      <w:r w:rsidR="0040630B" w:rsidRPr="00F0114F">
        <w:t xml:space="preserve"> have regard to the</w:t>
      </w:r>
      <w:r w:rsidRPr="00F0114F">
        <w:t xml:space="preserve"> relevant regulations under the Local Government Act 2003, the </w:t>
      </w:r>
      <w:r w:rsidR="00013E6E" w:rsidRPr="00F0114F">
        <w:t xml:space="preserve">CLG </w:t>
      </w:r>
      <w:r w:rsidR="0040630B" w:rsidRPr="00F0114F">
        <w:t xml:space="preserve">Guidance on Local Government Investments, any revisions to that guidance, the Audit Commission’s report on Icelandic investments and the </w:t>
      </w:r>
      <w:r w:rsidR="00550AB8" w:rsidRPr="00F0114F">
        <w:t xml:space="preserve">latest revision of the </w:t>
      </w:r>
      <w:r w:rsidR="0040630B" w:rsidRPr="00F0114F">
        <w:t>CIPFA Treasury Management in Public Services Code of Practice and C</w:t>
      </w:r>
      <w:r w:rsidRPr="00F0114F">
        <w:t>ross Sectoral Guidance Notes</w:t>
      </w:r>
      <w:r w:rsidR="00B474FF">
        <w:t xml:space="preserve">. </w:t>
      </w:r>
      <w:r w:rsidR="0040630B" w:rsidRPr="00F0114F">
        <w:t xml:space="preserve">The Council’s investment priorities are: - </w:t>
      </w:r>
    </w:p>
    <w:p w:rsidR="0040630B" w:rsidRPr="00F0114F" w:rsidRDefault="0040630B" w:rsidP="0040630B">
      <w:pPr>
        <w:ind w:left="851" w:firstLine="851"/>
        <w:jc w:val="both"/>
      </w:pPr>
    </w:p>
    <w:p w:rsidR="0040630B" w:rsidRPr="00F0114F" w:rsidRDefault="0040630B" w:rsidP="0040630B">
      <w:pPr>
        <w:spacing w:before="45" w:after="45"/>
        <w:ind w:left="851" w:firstLine="851"/>
        <w:jc w:val="both"/>
      </w:pPr>
      <w:r w:rsidRPr="00F0114F">
        <w:t>(a)</w:t>
      </w:r>
      <w:r w:rsidR="00025990" w:rsidRPr="00F0114F">
        <w:tab/>
      </w:r>
      <w:r w:rsidRPr="00F0114F">
        <w:t>The security of capital</w:t>
      </w:r>
      <w:r w:rsidR="006D1BFA" w:rsidRPr="00F0114F">
        <w:t>,</w:t>
      </w:r>
      <w:r w:rsidRPr="00F0114F">
        <w:t xml:space="preserve"> and </w:t>
      </w:r>
    </w:p>
    <w:p w:rsidR="0040630B" w:rsidRPr="00F0114F" w:rsidRDefault="00025990" w:rsidP="0040630B">
      <w:pPr>
        <w:spacing w:before="45" w:after="45"/>
        <w:ind w:left="851" w:firstLine="851"/>
        <w:jc w:val="both"/>
      </w:pPr>
      <w:r w:rsidRPr="00F0114F">
        <w:t>(b)</w:t>
      </w:r>
      <w:r w:rsidRPr="00F0114F">
        <w:tab/>
      </w:r>
      <w:r w:rsidR="0040630B" w:rsidRPr="00F0114F">
        <w:t xml:space="preserve">The liquidity of its investments. </w:t>
      </w:r>
    </w:p>
    <w:p w:rsidR="0040630B" w:rsidRPr="00F0114F" w:rsidRDefault="0040630B" w:rsidP="0040630B">
      <w:pPr>
        <w:spacing w:before="45" w:after="45"/>
        <w:ind w:left="851" w:firstLine="851"/>
        <w:jc w:val="both"/>
      </w:pPr>
    </w:p>
    <w:p w:rsidR="001D2E3E" w:rsidRPr="00F0114F" w:rsidRDefault="0040630B" w:rsidP="00B474FF">
      <w:pPr>
        <w:spacing w:after="240"/>
        <w:jc w:val="both"/>
      </w:pPr>
      <w:r w:rsidRPr="00F0114F">
        <w:t xml:space="preserve">The </w:t>
      </w:r>
      <w:r w:rsidR="0061799F" w:rsidRPr="00F0114F">
        <w:t>County Council</w:t>
      </w:r>
      <w:r w:rsidRPr="00F0114F">
        <w:t xml:space="preserve"> will also aim to achieve the optimum return on its investments commensurate with proper levels of security and liquidity. The risk appetite of th</w:t>
      </w:r>
      <w:r w:rsidR="0068326C" w:rsidRPr="00F0114F">
        <w:t>e County Council</w:t>
      </w:r>
      <w:r w:rsidRPr="00F0114F">
        <w:t xml:space="preserve"> is low in order to give priority to security of its investments.</w:t>
      </w:r>
    </w:p>
    <w:p w:rsidR="00BF289B" w:rsidRPr="006264D2" w:rsidRDefault="001D2E3E" w:rsidP="00B474FF">
      <w:pPr>
        <w:jc w:val="both"/>
      </w:pPr>
      <w:r w:rsidRPr="00F0114F">
        <w:t xml:space="preserve">The counterparty credit matrix </w:t>
      </w:r>
      <w:r w:rsidR="008D79FF" w:rsidRPr="00F0114F">
        <w:t xml:space="preserve">is </w:t>
      </w:r>
      <w:r w:rsidRPr="00F0114F">
        <w:t xml:space="preserve">at the heart of Lancashire County Council's Treasury Management Policy and Strategy </w:t>
      </w:r>
      <w:r w:rsidR="008D79FF" w:rsidRPr="00F0114F">
        <w:t xml:space="preserve">and has always been </w:t>
      </w:r>
      <w:r w:rsidRPr="00F0114F">
        <w:t>conservatively constructed to protect the County Council against credit risk whilst allowing for efficient and prudent investment activity</w:t>
      </w:r>
      <w:r w:rsidR="008D79FF" w:rsidRPr="00F0114F">
        <w:t>.</w:t>
      </w:r>
      <w:r w:rsidRPr="00F0114F">
        <w:t xml:space="preserve"> </w:t>
      </w:r>
      <w:r w:rsidR="002925C3">
        <w:t xml:space="preserve">However, the County Council does not rely solely on credit ratings in assessing counterparties. Other market information is also monitored such as information from the </w:t>
      </w:r>
      <w:r w:rsidR="002925C3" w:rsidRPr="00F0114F">
        <w:t>credit default swap (CDS) market</w:t>
      </w:r>
      <w:r w:rsidR="002925C3">
        <w:t xml:space="preserve"> and any press releases in general, thus ensuring the C</w:t>
      </w:r>
      <w:r w:rsidR="00BF289B" w:rsidRPr="00F0114F">
        <w:t>ouncil transacts with only the highest quality counter-parties</w:t>
      </w:r>
      <w:r w:rsidR="00B474FF" w:rsidRPr="00B474FF">
        <w:t>.</w:t>
      </w:r>
      <w:r w:rsidR="00B474FF">
        <w:rPr>
          <w:b/>
        </w:rPr>
        <w:t xml:space="preserve"> </w:t>
      </w:r>
      <w:r w:rsidR="006264D2" w:rsidRPr="006264D2">
        <w:t>An example of how CDS data is set out in the Treasury Management Practices</w:t>
      </w:r>
      <w:r w:rsidR="006264D2">
        <w:t>.</w:t>
      </w:r>
    </w:p>
    <w:p w:rsidR="00BF289B" w:rsidRPr="00F0114F" w:rsidRDefault="00BF289B" w:rsidP="00BF289B"/>
    <w:p w:rsidR="00BF289B" w:rsidRPr="00F0114F" w:rsidRDefault="00BF289B" w:rsidP="00574AC0">
      <w:pPr>
        <w:numPr>
          <w:ilvl w:val="0"/>
          <w:numId w:val="14"/>
        </w:numPr>
      </w:pPr>
      <w:r w:rsidRPr="00F0114F">
        <w:rPr>
          <w:b/>
        </w:rPr>
        <w:t>For short term lending of up to 1 year</w:t>
      </w:r>
      <w:r w:rsidRPr="00F0114F">
        <w:t xml:space="preserve"> that the short term ratings from the ratings agencies be used and that a counter-party must have a minimum of the following:</w:t>
      </w:r>
    </w:p>
    <w:p w:rsidR="00BF289B" w:rsidRPr="00F0114F" w:rsidRDefault="00BF289B" w:rsidP="00BF289B">
      <w:pPr>
        <w:ind w:firstLine="720"/>
      </w:pPr>
    </w:p>
    <w:p w:rsidR="00BF289B" w:rsidRPr="00F0114F" w:rsidRDefault="00BF289B" w:rsidP="00BF289B">
      <w:pPr>
        <w:ind w:firstLine="720"/>
      </w:pPr>
      <w:proofErr w:type="gramStart"/>
      <w:r w:rsidRPr="00F0114F">
        <w:t>Moody's  P1</w:t>
      </w:r>
      <w:proofErr w:type="gramEnd"/>
    </w:p>
    <w:p w:rsidR="00BF289B" w:rsidRPr="00F0114F" w:rsidRDefault="00BF289B" w:rsidP="00BF289B">
      <w:pPr>
        <w:ind w:firstLine="720"/>
      </w:pPr>
      <w:r w:rsidRPr="00F0114F">
        <w:t>S&amp;P         A1</w:t>
      </w:r>
    </w:p>
    <w:p w:rsidR="00BF289B" w:rsidRPr="00F0114F" w:rsidRDefault="00BF289B" w:rsidP="00BF289B">
      <w:pPr>
        <w:ind w:firstLine="720"/>
      </w:pPr>
      <w:r w:rsidRPr="00F0114F">
        <w:t>Fitch       F1</w:t>
      </w:r>
    </w:p>
    <w:p w:rsidR="00BF289B" w:rsidRPr="00F0114F" w:rsidRDefault="00BF289B" w:rsidP="00BF289B"/>
    <w:p w:rsidR="00BF289B" w:rsidRPr="00F0114F" w:rsidRDefault="00BF289B" w:rsidP="00B474FF">
      <w:pPr>
        <w:ind w:left="426"/>
        <w:jc w:val="both"/>
      </w:pPr>
      <w:r w:rsidRPr="00F0114F">
        <w:t xml:space="preserve">Short term ratings were specifically created by the agencies for money market investors placing deposits for up to one year as they reflect specifically the liquidity positions of the institutions concerned. The ratings of P1, A1 and F1 are considered to be strong investment grade with </w:t>
      </w:r>
      <w:proofErr w:type="gramStart"/>
      <w:r w:rsidRPr="00F0114F">
        <w:t>a</w:t>
      </w:r>
      <w:proofErr w:type="gramEnd"/>
      <w:r w:rsidRPr="00F0114F">
        <w:t xml:space="preserve"> extremely high degree of confidence in the liquidity position of the body over at least a one year period.</w:t>
      </w:r>
    </w:p>
    <w:p w:rsidR="00BF289B" w:rsidRPr="00F0114F" w:rsidRDefault="00BF289B" w:rsidP="00B474FF">
      <w:pPr>
        <w:jc w:val="both"/>
      </w:pPr>
    </w:p>
    <w:p w:rsidR="00BF289B" w:rsidRPr="00F0114F" w:rsidRDefault="00BF289B" w:rsidP="00B474FF">
      <w:pPr>
        <w:numPr>
          <w:ilvl w:val="0"/>
          <w:numId w:val="14"/>
        </w:numPr>
        <w:jc w:val="both"/>
      </w:pPr>
      <w:r w:rsidRPr="00F0114F">
        <w:rPr>
          <w:b/>
        </w:rPr>
        <w:t>For medium term investments</w:t>
      </w:r>
      <w:r w:rsidRPr="00F0114F">
        <w:t xml:space="preserve"> in </w:t>
      </w:r>
      <w:r w:rsidR="00E8740A" w:rsidRPr="00F0114F">
        <w:t xml:space="preserve">the </w:t>
      </w:r>
      <w:r w:rsidRPr="00F0114F">
        <w:t>form of tradeable bonds or certificates of deposit (1yr to 5yrs, where immediate liquidation can be demonstrated), it is proposed that a blended average of the ratings be taken (averaging  across all available ratings) , with a minimum of:</w:t>
      </w:r>
    </w:p>
    <w:p w:rsidR="00BF289B" w:rsidRPr="00F0114F" w:rsidRDefault="00BF289B" w:rsidP="00B474FF">
      <w:pPr>
        <w:jc w:val="both"/>
      </w:pPr>
    </w:p>
    <w:p w:rsidR="00BF289B" w:rsidRPr="00F0114F" w:rsidRDefault="00BF289B" w:rsidP="00B474FF">
      <w:pPr>
        <w:numPr>
          <w:ilvl w:val="0"/>
          <w:numId w:val="15"/>
        </w:numPr>
        <w:jc w:val="both"/>
      </w:pPr>
      <w:r w:rsidRPr="00F0114F">
        <w:t>Long term AA3/AA-,  and</w:t>
      </w:r>
    </w:p>
    <w:p w:rsidR="00BF289B" w:rsidRPr="00F0114F" w:rsidRDefault="00BF289B" w:rsidP="00B474FF">
      <w:pPr>
        <w:numPr>
          <w:ilvl w:val="0"/>
          <w:numId w:val="15"/>
        </w:numPr>
        <w:jc w:val="both"/>
      </w:pPr>
      <w:r w:rsidRPr="00F0114F">
        <w:t xml:space="preserve">Short term P1/F1+/A1+ </w:t>
      </w:r>
    </w:p>
    <w:p w:rsidR="00BF289B" w:rsidRPr="00F0114F" w:rsidRDefault="00BF289B" w:rsidP="00B474FF">
      <w:pPr>
        <w:ind w:left="720"/>
        <w:jc w:val="both"/>
      </w:pPr>
    </w:p>
    <w:p w:rsidR="00BF289B" w:rsidRPr="00F0114F" w:rsidRDefault="00BF289B" w:rsidP="00B474FF">
      <w:pPr>
        <w:numPr>
          <w:ilvl w:val="0"/>
          <w:numId w:val="14"/>
        </w:numPr>
        <w:jc w:val="both"/>
      </w:pPr>
      <w:r w:rsidRPr="00F0114F">
        <w:rPr>
          <w:b/>
        </w:rPr>
        <w:t>For longer term investments (5yrs and above</w:t>
      </w:r>
      <w:r w:rsidR="00E8740A" w:rsidRPr="00F0114F">
        <w:rPr>
          <w:b/>
        </w:rPr>
        <w:t>)</w:t>
      </w:r>
      <w:r w:rsidRPr="00F0114F">
        <w:t xml:space="preserve"> in</w:t>
      </w:r>
      <w:r w:rsidR="00E8740A" w:rsidRPr="00F0114F">
        <w:t xml:space="preserve"> the</w:t>
      </w:r>
      <w:r w:rsidRPr="00F0114F">
        <w:t xml:space="preserve"> form of tradeable bonds where immediate liquidation can be demonstrated, it is proposed that a blended average of the ratings be taken, with a minimum of:</w:t>
      </w:r>
    </w:p>
    <w:p w:rsidR="00BF289B" w:rsidRPr="00F0114F" w:rsidRDefault="00BF289B" w:rsidP="00B474FF">
      <w:pPr>
        <w:ind w:left="720"/>
        <w:jc w:val="both"/>
      </w:pPr>
    </w:p>
    <w:p w:rsidR="00BF289B" w:rsidRPr="00F0114F" w:rsidRDefault="00BF289B" w:rsidP="00B474FF">
      <w:pPr>
        <w:numPr>
          <w:ilvl w:val="0"/>
          <w:numId w:val="16"/>
        </w:numPr>
        <w:jc w:val="both"/>
      </w:pPr>
      <w:r w:rsidRPr="00F0114F">
        <w:t>Long term AA2/AA</w:t>
      </w:r>
    </w:p>
    <w:p w:rsidR="00BF289B" w:rsidRPr="00F0114F" w:rsidRDefault="00BF289B" w:rsidP="00B474FF">
      <w:pPr>
        <w:numPr>
          <w:ilvl w:val="0"/>
          <w:numId w:val="16"/>
        </w:numPr>
        <w:jc w:val="both"/>
      </w:pPr>
      <w:r w:rsidRPr="00F0114F">
        <w:t>Short term P1/A1+/F1+</w:t>
      </w:r>
    </w:p>
    <w:p w:rsidR="00BF289B" w:rsidRPr="001143BB" w:rsidRDefault="00BF289B" w:rsidP="00B474FF">
      <w:pPr>
        <w:jc w:val="both"/>
        <w:rPr>
          <w:highlight w:val="yellow"/>
        </w:rPr>
      </w:pPr>
    </w:p>
    <w:p w:rsidR="00536BC9" w:rsidRPr="007079C4" w:rsidRDefault="00D558CB" w:rsidP="00B474FF">
      <w:pPr>
        <w:jc w:val="both"/>
      </w:pPr>
      <w:r w:rsidRPr="007079C4">
        <w:t>The detailed calculation methodology of the blended average will be agreed with the Council's advisers and set out in the Treasury Management Practices.</w:t>
      </w:r>
    </w:p>
    <w:p w:rsidR="006264D2" w:rsidRPr="007079C4" w:rsidRDefault="006264D2" w:rsidP="00B474FF">
      <w:pPr>
        <w:jc w:val="both"/>
      </w:pPr>
    </w:p>
    <w:p w:rsidR="006264D2" w:rsidRPr="007079C4" w:rsidRDefault="00C06EC5" w:rsidP="00B474FF">
      <w:pPr>
        <w:spacing w:after="240"/>
        <w:jc w:val="both"/>
      </w:pPr>
      <w:r w:rsidRPr="007079C4">
        <w:t>The limits for scale and duration of investment in specific categories which form the 2013</w:t>
      </w:r>
      <w:r w:rsidR="008742CA">
        <w:t>/</w:t>
      </w:r>
      <w:r w:rsidRPr="007079C4">
        <w:t xml:space="preserve">14 investment policy are set out in the table below. </w:t>
      </w:r>
    </w:p>
    <w:p w:rsidR="00C06EC5" w:rsidRDefault="00C06EC5" w:rsidP="00B474FF">
      <w:pPr>
        <w:spacing w:after="240"/>
        <w:jc w:val="both"/>
      </w:pPr>
      <w:r w:rsidRPr="007079C4">
        <w:t xml:space="preserve">Should an existing investment, due to a change in credit rating after a fixed deposit has been made, fall outside the policy, full consideration will be made, taking into account all relevant information, as to whether a premature settlement of the investment should be negotiated in order to protect the County </w:t>
      </w:r>
      <w:proofErr w:type="gramStart"/>
      <w:r w:rsidRPr="007079C4">
        <w:t>Council.</w:t>
      </w:r>
      <w:proofErr w:type="gramEnd"/>
    </w:p>
    <w:p w:rsidR="00C06EC5" w:rsidRPr="007079C4" w:rsidRDefault="00C06EC5" w:rsidP="00B474FF">
      <w:pPr>
        <w:spacing w:after="240"/>
        <w:jc w:val="both"/>
      </w:pPr>
      <w:r w:rsidRPr="007079C4">
        <w:t>The minimum sovereign rating for investment is AA</w:t>
      </w:r>
      <w:r w:rsidR="007079C4" w:rsidRPr="007079C4">
        <w:t>.</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1317"/>
        <w:gridCol w:w="1696"/>
        <w:gridCol w:w="1696"/>
        <w:gridCol w:w="1875"/>
      </w:tblGrid>
      <w:tr w:rsidR="007079C4" w:rsidRPr="00A036BF" w:rsidTr="007079C4">
        <w:trPr>
          <w:trHeight w:val="1271"/>
          <w:tblHeader/>
        </w:trPr>
        <w:tc>
          <w:tcPr>
            <w:tcW w:w="1114" w:type="pct"/>
            <w:vAlign w:val="center"/>
          </w:tcPr>
          <w:p w:rsidR="007079C4" w:rsidRPr="00A036BF" w:rsidRDefault="007079C4" w:rsidP="00C06EC5">
            <w:pPr>
              <w:jc w:val="center"/>
              <w:rPr>
                <w:b/>
                <w:bCs/>
                <w:sz w:val="20"/>
                <w:szCs w:val="20"/>
              </w:rPr>
            </w:pPr>
            <w:r w:rsidRPr="00A036BF">
              <w:rPr>
                <w:b/>
                <w:bCs/>
                <w:sz w:val="20"/>
                <w:szCs w:val="20"/>
              </w:rPr>
              <w:t>Instrument</w:t>
            </w:r>
          </w:p>
        </w:tc>
        <w:tc>
          <w:tcPr>
            <w:tcW w:w="777" w:type="pct"/>
            <w:vAlign w:val="center"/>
          </w:tcPr>
          <w:p w:rsidR="007079C4" w:rsidRPr="00A036BF" w:rsidRDefault="007079C4" w:rsidP="00C06EC5">
            <w:pPr>
              <w:jc w:val="center"/>
              <w:rPr>
                <w:b/>
                <w:bCs/>
                <w:sz w:val="20"/>
                <w:szCs w:val="20"/>
              </w:rPr>
            </w:pPr>
            <w:r w:rsidRPr="00A036BF">
              <w:rPr>
                <w:b/>
                <w:bCs/>
                <w:sz w:val="20"/>
                <w:szCs w:val="20"/>
              </w:rPr>
              <w:t>Credit Rating</w:t>
            </w:r>
            <w:r w:rsidRPr="00A036BF">
              <w:rPr>
                <w:b/>
                <w:bCs/>
                <w:sz w:val="20"/>
                <w:szCs w:val="20"/>
              </w:rPr>
              <w:br/>
              <w:t>(blended average)</w:t>
            </w:r>
          </w:p>
        </w:tc>
        <w:tc>
          <w:tcPr>
            <w:tcW w:w="1001" w:type="pct"/>
            <w:vAlign w:val="center"/>
          </w:tcPr>
          <w:p w:rsidR="007079C4" w:rsidRPr="00A036BF" w:rsidRDefault="007079C4" w:rsidP="00C06EC5">
            <w:pPr>
              <w:jc w:val="center"/>
              <w:rPr>
                <w:b/>
                <w:bCs/>
                <w:sz w:val="20"/>
                <w:szCs w:val="20"/>
              </w:rPr>
            </w:pPr>
            <w:r w:rsidRPr="00A036BF">
              <w:rPr>
                <w:b/>
                <w:bCs/>
                <w:sz w:val="20"/>
                <w:szCs w:val="20"/>
              </w:rPr>
              <w:t>Maximum individual Investment(£m)</w:t>
            </w:r>
          </w:p>
        </w:tc>
        <w:tc>
          <w:tcPr>
            <w:tcW w:w="1001" w:type="pct"/>
          </w:tcPr>
          <w:p w:rsidR="007079C4" w:rsidRPr="00A036BF" w:rsidRDefault="007079C4" w:rsidP="00C06EC5">
            <w:pPr>
              <w:jc w:val="center"/>
              <w:rPr>
                <w:b/>
                <w:bCs/>
                <w:sz w:val="20"/>
                <w:szCs w:val="20"/>
              </w:rPr>
            </w:pPr>
          </w:p>
          <w:p w:rsidR="007079C4" w:rsidRPr="00A036BF" w:rsidRDefault="007079C4" w:rsidP="00C06EC5">
            <w:pPr>
              <w:jc w:val="center"/>
              <w:rPr>
                <w:b/>
                <w:bCs/>
                <w:sz w:val="20"/>
                <w:szCs w:val="20"/>
              </w:rPr>
            </w:pPr>
          </w:p>
          <w:p w:rsidR="007079C4" w:rsidRPr="00A036BF" w:rsidRDefault="007079C4" w:rsidP="00C06EC5">
            <w:pPr>
              <w:jc w:val="center"/>
              <w:rPr>
                <w:b/>
                <w:bCs/>
                <w:sz w:val="20"/>
                <w:szCs w:val="20"/>
              </w:rPr>
            </w:pPr>
            <w:r w:rsidRPr="00A036BF">
              <w:rPr>
                <w:b/>
                <w:bCs/>
                <w:sz w:val="20"/>
                <w:szCs w:val="20"/>
              </w:rPr>
              <w:t>Maximum total Investment(£m)</w:t>
            </w:r>
          </w:p>
        </w:tc>
        <w:tc>
          <w:tcPr>
            <w:tcW w:w="1107" w:type="pct"/>
            <w:vAlign w:val="center"/>
          </w:tcPr>
          <w:p w:rsidR="007079C4" w:rsidRPr="00A036BF" w:rsidRDefault="007079C4" w:rsidP="00C06EC5">
            <w:pPr>
              <w:jc w:val="center"/>
              <w:rPr>
                <w:b/>
                <w:bCs/>
                <w:sz w:val="20"/>
                <w:szCs w:val="20"/>
              </w:rPr>
            </w:pPr>
            <w:r w:rsidRPr="00A036BF">
              <w:rPr>
                <w:b/>
                <w:bCs/>
                <w:sz w:val="20"/>
                <w:szCs w:val="20"/>
              </w:rPr>
              <w:t>Maximum Period</w:t>
            </w:r>
          </w:p>
        </w:tc>
      </w:tr>
      <w:tr w:rsidR="007079C4" w:rsidRPr="00A036BF" w:rsidTr="007079C4">
        <w:trPr>
          <w:trHeight w:val="684"/>
        </w:trPr>
        <w:tc>
          <w:tcPr>
            <w:tcW w:w="1114" w:type="pct"/>
            <w:vAlign w:val="center"/>
          </w:tcPr>
          <w:p w:rsidR="007079C4" w:rsidRPr="00A036BF" w:rsidRDefault="007079C4" w:rsidP="00C06EC5">
            <w:pPr>
              <w:rPr>
                <w:sz w:val="20"/>
                <w:szCs w:val="20"/>
              </w:rPr>
            </w:pPr>
            <w:r w:rsidRPr="00A036BF">
              <w:rPr>
                <w:sz w:val="20"/>
                <w:szCs w:val="20"/>
              </w:rPr>
              <w:t xml:space="preserve">UK Government Gilts, Treasury Bills </w:t>
            </w:r>
          </w:p>
          <w:p w:rsidR="007079C4" w:rsidRPr="00A036BF" w:rsidRDefault="007079C4" w:rsidP="00C06EC5">
            <w:pPr>
              <w:rPr>
                <w:bCs/>
                <w:sz w:val="20"/>
                <w:szCs w:val="20"/>
              </w:rPr>
            </w:pPr>
            <w:r w:rsidRPr="00A036BF">
              <w:rPr>
                <w:bCs/>
                <w:sz w:val="20"/>
                <w:szCs w:val="20"/>
              </w:rPr>
              <w:t>&amp; bodies guaranteed by UK Govt</w:t>
            </w:r>
          </w:p>
        </w:tc>
        <w:tc>
          <w:tcPr>
            <w:tcW w:w="777" w:type="pct"/>
            <w:vAlign w:val="center"/>
          </w:tcPr>
          <w:p w:rsidR="007079C4" w:rsidRPr="00A036BF" w:rsidRDefault="007079C4" w:rsidP="00C06EC5">
            <w:pPr>
              <w:jc w:val="center"/>
              <w:rPr>
                <w:sz w:val="20"/>
                <w:szCs w:val="20"/>
              </w:rPr>
            </w:pPr>
            <w:r w:rsidRPr="00A036BF">
              <w:rPr>
                <w:sz w:val="20"/>
                <w:szCs w:val="20"/>
              </w:rPr>
              <w:t>UK Government</w:t>
            </w:r>
          </w:p>
        </w:tc>
        <w:tc>
          <w:tcPr>
            <w:tcW w:w="1001" w:type="pct"/>
            <w:vAlign w:val="center"/>
          </w:tcPr>
          <w:p w:rsidR="007079C4" w:rsidRPr="00A036BF" w:rsidRDefault="007079C4" w:rsidP="00C06EC5">
            <w:pPr>
              <w:jc w:val="center"/>
              <w:rPr>
                <w:sz w:val="20"/>
                <w:szCs w:val="20"/>
              </w:rPr>
            </w:pPr>
            <w:r w:rsidRPr="00A036BF">
              <w:rPr>
                <w:sz w:val="20"/>
                <w:szCs w:val="20"/>
              </w:rPr>
              <w:t>100</w:t>
            </w:r>
          </w:p>
        </w:tc>
        <w:tc>
          <w:tcPr>
            <w:tcW w:w="1001" w:type="pct"/>
            <w:vAlign w:val="center"/>
          </w:tcPr>
          <w:p w:rsidR="007079C4" w:rsidRPr="00A036BF" w:rsidRDefault="007079C4" w:rsidP="00C06EC5">
            <w:pPr>
              <w:jc w:val="center"/>
              <w:rPr>
                <w:sz w:val="20"/>
                <w:szCs w:val="20"/>
              </w:rPr>
            </w:pPr>
            <w:r w:rsidRPr="00A036BF">
              <w:rPr>
                <w:sz w:val="20"/>
                <w:szCs w:val="20"/>
              </w:rPr>
              <w:t>unlimited</w:t>
            </w:r>
          </w:p>
        </w:tc>
        <w:tc>
          <w:tcPr>
            <w:tcW w:w="1107" w:type="pct"/>
            <w:vAlign w:val="center"/>
          </w:tcPr>
          <w:p w:rsidR="007079C4" w:rsidRPr="00A036BF" w:rsidRDefault="007079C4" w:rsidP="00C06EC5">
            <w:pPr>
              <w:jc w:val="center"/>
              <w:rPr>
                <w:sz w:val="20"/>
                <w:szCs w:val="20"/>
              </w:rPr>
            </w:pPr>
            <w:r w:rsidRPr="00A036BF">
              <w:rPr>
                <w:sz w:val="20"/>
                <w:szCs w:val="20"/>
              </w:rPr>
              <w:t>50 yrs</w:t>
            </w:r>
          </w:p>
        </w:tc>
      </w:tr>
      <w:tr w:rsidR="007079C4" w:rsidRPr="00A036BF" w:rsidTr="007079C4">
        <w:trPr>
          <w:trHeight w:val="836"/>
        </w:trPr>
        <w:tc>
          <w:tcPr>
            <w:tcW w:w="1114" w:type="pct"/>
            <w:vAlign w:val="center"/>
          </w:tcPr>
          <w:p w:rsidR="007079C4" w:rsidRPr="00A036BF" w:rsidRDefault="007079C4" w:rsidP="00C06EC5">
            <w:pPr>
              <w:rPr>
                <w:sz w:val="20"/>
                <w:szCs w:val="20"/>
              </w:rPr>
            </w:pPr>
            <w:r w:rsidRPr="00A036BF">
              <w:rPr>
                <w:sz w:val="20"/>
                <w:szCs w:val="20"/>
              </w:rPr>
              <w:t xml:space="preserve">Sterling Supranational Bonds Sterling Sovereign Bonds </w:t>
            </w:r>
          </w:p>
        </w:tc>
        <w:tc>
          <w:tcPr>
            <w:tcW w:w="777" w:type="pct"/>
            <w:vAlign w:val="center"/>
          </w:tcPr>
          <w:p w:rsidR="007079C4" w:rsidRPr="00A036BF" w:rsidRDefault="007079C4" w:rsidP="00C06EC5">
            <w:pPr>
              <w:jc w:val="center"/>
              <w:rPr>
                <w:sz w:val="20"/>
                <w:szCs w:val="20"/>
              </w:rPr>
            </w:pPr>
            <w:r w:rsidRPr="00A036BF">
              <w:rPr>
                <w:sz w:val="20"/>
                <w:szCs w:val="20"/>
              </w:rPr>
              <w:t>AA+</w:t>
            </w:r>
          </w:p>
        </w:tc>
        <w:tc>
          <w:tcPr>
            <w:tcW w:w="1001" w:type="pct"/>
            <w:vAlign w:val="center"/>
          </w:tcPr>
          <w:p w:rsidR="007079C4" w:rsidRPr="00A036BF" w:rsidRDefault="007079C4" w:rsidP="00C06EC5">
            <w:pPr>
              <w:jc w:val="center"/>
              <w:rPr>
                <w:sz w:val="20"/>
                <w:szCs w:val="20"/>
              </w:rPr>
            </w:pPr>
            <w:r w:rsidRPr="00A036BF">
              <w:rPr>
                <w:sz w:val="20"/>
                <w:szCs w:val="20"/>
              </w:rPr>
              <w:t>100</w:t>
            </w:r>
          </w:p>
        </w:tc>
        <w:tc>
          <w:tcPr>
            <w:tcW w:w="1001" w:type="pct"/>
            <w:vAlign w:val="center"/>
          </w:tcPr>
          <w:p w:rsidR="007079C4" w:rsidRPr="00A036BF" w:rsidRDefault="007079C4" w:rsidP="00C06EC5">
            <w:pPr>
              <w:jc w:val="center"/>
              <w:rPr>
                <w:sz w:val="20"/>
                <w:szCs w:val="20"/>
              </w:rPr>
            </w:pPr>
            <w:r w:rsidRPr="00A036BF">
              <w:rPr>
                <w:sz w:val="20"/>
                <w:szCs w:val="20"/>
              </w:rPr>
              <w:t>500</w:t>
            </w:r>
          </w:p>
        </w:tc>
        <w:tc>
          <w:tcPr>
            <w:tcW w:w="1107" w:type="pct"/>
            <w:vAlign w:val="center"/>
          </w:tcPr>
          <w:p w:rsidR="007079C4" w:rsidRPr="00A036BF" w:rsidRDefault="007079C4" w:rsidP="00C06EC5">
            <w:pPr>
              <w:jc w:val="center"/>
              <w:rPr>
                <w:sz w:val="20"/>
                <w:szCs w:val="20"/>
              </w:rPr>
            </w:pPr>
            <w:r w:rsidRPr="00A036BF">
              <w:rPr>
                <w:sz w:val="20"/>
                <w:szCs w:val="20"/>
              </w:rPr>
              <w:t>50 yrs</w:t>
            </w:r>
          </w:p>
        </w:tc>
      </w:tr>
      <w:tr w:rsidR="007079C4" w:rsidRPr="00A036BF" w:rsidTr="007079C4">
        <w:trPr>
          <w:trHeight w:val="836"/>
        </w:trPr>
        <w:tc>
          <w:tcPr>
            <w:tcW w:w="1114" w:type="pct"/>
            <w:vAlign w:val="center"/>
          </w:tcPr>
          <w:p w:rsidR="007079C4" w:rsidRPr="00A036BF" w:rsidRDefault="007079C4" w:rsidP="00C06EC5">
            <w:pPr>
              <w:spacing w:after="120"/>
              <w:rPr>
                <w:sz w:val="20"/>
                <w:szCs w:val="20"/>
              </w:rPr>
            </w:pPr>
            <w:r w:rsidRPr="00A036BF">
              <w:rPr>
                <w:sz w:val="20"/>
                <w:szCs w:val="20"/>
              </w:rPr>
              <w:t>Term Deposits with UK and Overseas Banks (domiciled in UK) and Building Societies, Certificates of Deposit up to 1yr</w:t>
            </w:r>
          </w:p>
        </w:tc>
        <w:tc>
          <w:tcPr>
            <w:tcW w:w="777" w:type="pct"/>
            <w:vAlign w:val="center"/>
          </w:tcPr>
          <w:p w:rsidR="007079C4" w:rsidRPr="00A036BF" w:rsidRDefault="007079C4" w:rsidP="00C06EC5">
            <w:pPr>
              <w:jc w:val="center"/>
              <w:rPr>
                <w:sz w:val="20"/>
                <w:szCs w:val="20"/>
              </w:rPr>
            </w:pPr>
            <w:r w:rsidRPr="00A036BF">
              <w:rPr>
                <w:sz w:val="20"/>
                <w:szCs w:val="20"/>
              </w:rPr>
              <w:t>P1/A1/F1</w:t>
            </w:r>
          </w:p>
        </w:tc>
        <w:tc>
          <w:tcPr>
            <w:tcW w:w="1001" w:type="pct"/>
            <w:vAlign w:val="center"/>
          </w:tcPr>
          <w:p w:rsidR="007079C4" w:rsidRPr="00A036BF" w:rsidRDefault="007079C4" w:rsidP="00C06EC5">
            <w:pPr>
              <w:jc w:val="center"/>
              <w:rPr>
                <w:sz w:val="20"/>
                <w:szCs w:val="20"/>
              </w:rPr>
            </w:pPr>
            <w:r w:rsidRPr="00A036BF">
              <w:rPr>
                <w:sz w:val="20"/>
                <w:szCs w:val="20"/>
              </w:rPr>
              <w:t>25</w:t>
            </w:r>
          </w:p>
        </w:tc>
        <w:tc>
          <w:tcPr>
            <w:tcW w:w="1001" w:type="pct"/>
            <w:vAlign w:val="center"/>
          </w:tcPr>
          <w:p w:rsidR="007079C4" w:rsidRPr="00A036BF" w:rsidRDefault="007079C4" w:rsidP="00C06EC5">
            <w:pPr>
              <w:jc w:val="center"/>
              <w:rPr>
                <w:sz w:val="20"/>
                <w:szCs w:val="20"/>
              </w:rPr>
            </w:pPr>
            <w:r w:rsidRPr="00A036BF">
              <w:rPr>
                <w:sz w:val="20"/>
                <w:szCs w:val="20"/>
              </w:rPr>
              <w:t>200</w:t>
            </w:r>
          </w:p>
        </w:tc>
        <w:tc>
          <w:tcPr>
            <w:tcW w:w="1107" w:type="pct"/>
            <w:vAlign w:val="center"/>
          </w:tcPr>
          <w:p w:rsidR="007079C4" w:rsidRPr="00A036BF" w:rsidRDefault="007079C4" w:rsidP="00C06EC5">
            <w:pPr>
              <w:jc w:val="center"/>
              <w:rPr>
                <w:sz w:val="20"/>
                <w:szCs w:val="20"/>
              </w:rPr>
            </w:pPr>
            <w:r w:rsidRPr="00A036BF">
              <w:rPr>
                <w:sz w:val="20"/>
                <w:szCs w:val="20"/>
              </w:rPr>
              <w:t>1yr</w:t>
            </w:r>
          </w:p>
        </w:tc>
      </w:tr>
      <w:tr w:rsidR="007079C4" w:rsidRPr="00A036BF" w:rsidTr="007079C4">
        <w:tc>
          <w:tcPr>
            <w:tcW w:w="1114" w:type="pct"/>
            <w:vAlign w:val="center"/>
          </w:tcPr>
          <w:p w:rsidR="007079C4" w:rsidRPr="00A036BF" w:rsidRDefault="007079C4" w:rsidP="00C06EC5">
            <w:pPr>
              <w:spacing w:after="120"/>
              <w:rPr>
                <w:sz w:val="20"/>
                <w:szCs w:val="20"/>
              </w:rPr>
            </w:pPr>
            <w:r w:rsidRPr="00A036BF">
              <w:rPr>
                <w:sz w:val="20"/>
                <w:szCs w:val="20"/>
              </w:rPr>
              <w:t>Term Deposits with UK and Overseas Banks (domiciled in UK) and Building Societies, Certificates of Deposit.1yr to 5yr</w:t>
            </w:r>
          </w:p>
        </w:tc>
        <w:tc>
          <w:tcPr>
            <w:tcW w:w="777" w:type="pct"/>
            <w:vAlign w:val="center"/>
          </w:tcPr>
          <w:p w:rsidR="007079C4" w:rsidRPr="00A036BF" w:rsidRDefault="007079C4" w:rsidP="00C06EC5">
            <w:pPr>
              <w:spacing w:after="120"/>
              <w:jc w:val="center"/>
              <w:rPr>
                <w:sz w:val="20"/>
                <w:szCs w:val="20"/>
              </w:rPr>
            </w:pPr>
            <w:r w:rsidRPr="00A036BF">
              <w:rPr>
                <w:sz w:val="20"/>
                <w:szCs w:val="20"/>
              </w:rPr>
              <w:t>AA-</w:t>
            </w:r>
          </w:p>
          <w:p w:rsidR="007079C4" w:rsidRPr="00A036BF" w:rsidRDefault="007079C4" w:rsidP="00C06EC5">
            <w:pPr>
              <w:spacing w:after="120"/>
              <w:jc w:val="center"/>
              <w:rPr>
                <w:sz w:val="20"/>
                <w:szCs w:val="20"/>
              </w:rPr>
            </w:pPr>
            <w:r w:rsidRPr="00A036BF">
              <w:rPr>
                <w:sz w:val="20"/>
                <w:szCs w:val="20"/>
              </w:rPr>
              <w:t>P1/A1+/F1+</w:t>
            </w:r>
          </w:p>
          <w:p w:rsidR="007079C4" w:rsidRPr="00A036BF" w:rsidRDefault="007079C4" w:rsidP="00C06EC5">
            <w:pPr>
              <w:spacing w:after="120"/>
              <w:jc w:val="center"/>
              <w:rPr>
                <w:sz w:val="20"/>
                <w:szCs w:val="20"/>
              </w:rPr>
            </w:pPr>
          </w:p>
        </w:tc>
        <w:tc>
          <w:tcPr>
            <w:tcW w:w="1001" w:type="pct"/>
            <w:vAlign w:val="center"/>
          </w:tcPr>
          <w:p w:rsidR="007079C4" w:rsidRPr="00A036BF" w:rsidRDefault="007079C4" w:rsidP="00C06EC5">
            <w:pPr>
              <w:spacing w:after="120"/>
              <w:jc w:val="center"/>
              <w:rPr>
                <w:sz w:val="20"/>
                <w:szCs w:val="20"/>
              </w:rPr>
            </w:pPr>
            <w:r w:rsidRPr="00A036BF">
              <w:rPr>
                <w:sz w:val="20"/>
                <w:szCs w:val="20"/>
              </w:rPr>
              <w:t>100</w:t>
            </w:r>
          </w:p>
        </w:tc>
        <w:tc>
          <w:tcPr>
            <w:tcW w:w="1001" w:type="pct"/>
            <w:vAlign w:val="center"/>
          </w:tcPr>
          <w:p w:rsidR="007079C4" w:rsidRPr="00A036BF" w:rsidRDefault="007079C4" w:rsidP="00C06EC5">
            <w:pPr>
              <w:spacing w:after="120"/>
              <w:jc w:val="center"/>
              <w:rPr>
                <w:sz w:val="20"/>
                <w:szCs w:val="20"/>
              </w:rPr>
            </w:pPr>
            <w:r w:rsidRPr="00A036BF">
              <w:rPr>
                <w:sz w:val="20"/>
                <w:szCs w:val="20"/>
              </w:rPr>
              <w:t>400</w:t>
            </w:r>
          </w:p>
        </w:tc>
        <w:tc>
          <w:tcPr>
            <w:tcW w:w="1107" w:type="pct"/>
            <w:vAlign w:val="center"/>
          </w:tcPr>
          <w:p w:rsidR="007079C4" w:rsidRPr="00A036BF" w:rsidRDefault="007079C4" w:rsidP="00C06EC5">
            <w:pPr>
              <w:spacing w:after="120"/>
              <w:jc w:val="center"/>
              <w:rPr>
                <w:sz w:val="20"/>
                <w:szCs w:val="20"/>
              </w:rPr>
            </w:pPr>
            <w:r w:rsidRPr="00A036BF">
              <w:rPr>
                <w:sz w:val="20"/>
                <w:szCs w:val="20"/>
              </w:rPr>
              <w:t>5 yrs</w:t>
            </w:r>
          </w:p>
        </w:tc>
      </w:tr>
      <w:tr w:rsidR="007079C4" w:rsidRPr="00A036BF" w:rsidTr="007079C4">
        <w:trPr>
          <w:cantSplit/>
          <w:trHeight w:val="447"/>
        </w:trPr>
        <w:tc>
          <w:tcPr>
            <w:tcW w:w="1114" w:type="pct"/>
            <w:vAlign w:val="center"/>
          </w:tcPr>
          <w:p w:rsidR="007079C4" w:rsidRPr="00A036BF" w:rsidRDefault="007079C4" w:rsidP="00C06EC5">
            <w:pPr>
              <w:spacing w:after="120"/>
              <w:rPr>
                <w:sz w:val="20"/>
                <w:szCs w:val="20"/>
              </w:rPr>
            </w:pPr>
            <w:r w:rsidRPr="00A036BF">
              <w:rPr>
                <w:sz w:val="20"/>
                <w:szCs w:val="20"/>
              </w:rPr>
              <w:t>Corporate Bonds (Medium term)</w:t>
            </w:r>
          </w:p>
        </w:tc>
        <w:tc>
          <w:tcPr>
            <w:tcW w:w="777" w:type="pct"/>
            <w:vAlign w:val="center"/>
          </w:tcPr>
          <w:p w:rsidR="007079C4" w:rsidRPr="00A036BF" w:rsidRDefault="007079C4" w:rsidP="00C06EC5">
            <w:pPr>
              <w:spacing w:after="120"/>
              <w:jc w:val="center"/>
              <w:rPr>
                <w:sz w:val="20"/>
                <w:szCs w:val="20"/>
              </w:rPr>
            </w:pPr>
            <w:r w:rsidRPr="00A036BF">
              <w:rPr>
                <w:sz w:val="20"/>
                <w:szCs w:val="20"/>
              </w:rPr>
              <w:t>AA-</w:t>
            </w:r>
          </w:p>
          <w:p w:rsidR="007079C4" w:rsidRPr="00A036BF" w:rsidRDefault="007079C4" w:rsidP="00C06EC5">
            <w:pPr>
              <w:spacing w:after="120"/>
              <w:jc w:val="center"/>
              <w:rPr>
                <w:sz w:val="20"/>
                <w:szCs w:val="20"/>
              </w:rPr>
            </w:pPr>
            <w:r w:rsidRPr="00A036BF">
              <w:rPr>
                <w:sz w:val="20"/>
                <w:szCs w:val="20"/>
              </w:rPr>
              <w:t>P1/A1/F1</w:t>
            </w:r>
          </w:p>
        </w:tc>
        <w:tc>
          <w:tcPr>
            <w:tcW w:w="1001" w:type="pct"/>
            <w:vAlign w:val="center"/>
          </w:tcPr>
          <w:p w:rsidR="007079C4" w:rsidRPr="00A036BF" w:rsidRDefault="007079C4" w:rsidP="00C06EC5">
            <w:pPr>
              <w:jc w:val="center"/>
              <w:rPr>
                <w:sz w:val="20"/>
                <w:szCs w:val="20"/>
              </w:rPr>
            </w:pPr>
            <w:r w:rsidRPr="00A036BF">
              <w:rPr>
                <w:sz w:val="20"/>
                <w:szCs w:val="20"/>
              </w:rPr>
              <w:t>50</w:t>
            </w:r>
          </w:p>
        </w:tc>
        <w:tc>
          <w:tcPr>
            <w:tcW w:w="1001" w:type="pct"/>
            <w:vAlign w:val="center"/>
          </w:tcPr>
          <w:p w:rsidR="007079C4" w:rsidRPr="00A036BF" w:rsidRDefault="007079C4" w:rsidP="00C06EC5">
            <w:pPr>
              <w:jc w:val="center"/>
              <w:rPr>
                <w:sz w:val="20"/>
                <w:szCs w:val="20"/>
              </w:rPr>
            </w:pPr>
            <w:r w:rsidRPr="00A036BF">
              <w:rPr>
                <w:sz w:val="20"/>
                <w:szCs w:val="20"/>
              </w:rPr>
              <w:t>200</w:t>
            </w:r>
          </w:p>
        </w:tc>
        <w:tc>
          <w:tcPr>
            <w:tcW w:w="1107" w:type="pct"/>
            <w:vAlign w:val="center"/>
          </w:tcPr>
          <w:p w:rsidR="007079C4" w:rsidRPr="00A036BF" w:rsidRDefault="007079C4" w:rsidP="00C06EC5">
            <w:pPr>
              <w:jc w:val="center"/>
              <w:rPr>
                <w:sz w:val="20"/>
                <w:szCs w:val="20"/>
              </w:rPr>
            </w:pPr>
            <w:r w:rsidRPr="00A036BF">
              <w:rPr>
                <w:sz w:val="20"/>
                <w:szCs w:val="20"/>
              </w:rPr>
              <w:t>5yrs</w:t>
            </w:r>
          </w:p>
        </w:tc>
      </w:tr>
      <w:tr w:rsidR="007079C4" w:rsidRPr="00A036BF" w:rsidTr="007079C4">
        <w:trPr>
          <w:cantSplit/>
          <w:trHeight w:val="447"/>
        </w:trPr>
        <w:tc>
          <w:tcPr>
            <w:tcW w:w="1114" w:type="pct"/>
            <w:vAlign w:val="center"/>
          </w:tcPr>
          <w:p w:rsidR="007079C4" w:rsidRPr="00A036BF" w:rsidRDefault="007079C4" w:rsidP="00C06EC5">
            <w:pPr>
              <w:spacing w:after="120"/>
              <w:rPr>
                <w:sz w:val="20"/>
                <w:szCs w:val="20"/>
              </w:rPr>
            </w:pPr>
            <w:r w:rsidRPr="00A036BF">
              <w:rPr>
                <w:sz w:val="20"/>
                <w:szCs w:val="20"/>
              </w:rPr>
              <w:t>Corporate Bonds (Long term)</w:t>
            </w:r>
          </w:p>
        </w:tc>
        <w:tc>
          <w:tcPr>
            <w:tcW w:w="777" w:type="pct"/>
            <w:vAlign w:val="center"/>
          </w:tcPr>
          <w:p w:rsidR="007079C4" w:rsidRPr="00A036BF" w:rsidRDefault="007079C4" w:rsidP="00C06EC5">
            <w:pPr>
              <w:spacing w:after="120"/>
              <w:jc w:val="center"/>
              <w:rPr>
                <w:sz w:val="20"/>
                <w:szCs w:val="20"/>
              </w:rPr>
            </w:pPr>
            <w:r w:rsidRPr="00A036BF">
              <w:rPr>
                <w:sz w:val="20"/>
                <w:szCs w:val="20"/>
              </w:rPr>
              <w:t>AA</w:t>
            </w:r>
          </w:p>
          <w:p w:rsidR="007079C4" w:rsidRPr="00A036BF" w:rsidRDefault="007079C4" w:rsidP="00C06EC5">
            <w:pPr>
              <w:spacing w:after="120"/>
              <w:jc w:val="center"/>
              <w:rPr>
                <w:sz w:val="20"/>
                <w:szCs w:val="20"/>
              </w:rPr>
            </w:pPr>
            <w:r w:rsidRPr="00A036BF">
              <w:rPr>
                <w:sz w:val="20"/>
                <w:szCs w:val="20"/>
              </w:rPr>
              <w:t>P1/A1+/F1+</w:t>
            </w:r>
          </w:p>
        </w:tc>
        <w:tc>
          <w:tcPr>
            <w:tcW w:w="1001" w:type="pct"/>
            <w:vAlign w:val="center"/>
          </w:tcPr>
          <w:p w:rsidR="007079C4" w:rsidRPr="00A036BF" w:rsidRDefault="007079C4" w:rsidP="00C06EC5">
            <w:pPr>
              <w:jc w:val="center"/>
              <w:rPr>
                <w:sz w:val="20"/>
                <w:szCs w:val="20"/>
              </w:rPr>
            </w:pPr>
            <w:r w:rsidRPr="00A036BF">
              <w:rPr>
                <w:sz w:val="20"/>
                <w:szCs w:val="20"/>
              </w:rPr>
              <w:t>50</w:t>
            </w:r>
          </w:p>
        </w:tc>
        <w:tc>
          <w:tcPr>
            <w:tcW w:w="1001" w:type="pct"/>
            <w:vAlign w:val="center"/>
          </w:tcPr>
          <w:p w:rsidR="007079C4" w:rsidRPr="00A036BF" w:rsidRDefault="007079C4" w:rsidP="00C06EC5">
            <w:pPr>
              <w:jc w:val="center"/>
              <w:rPr>
                <w:sz w:val="20"/>
                <w:szCs w:val="20"/>
              </w:rPr>
            </w:pPr>
            <w:r w:rsidRPr="00A036BF">
              <w:rPr>
                <w:sz w:val="20"/>
                <w:szCs w:val="20"/>
              </w:rPr>
              <w:t>200</w:t>
            </w:r>
          </w:p>
        </w:tc>
        <w:tc>
          <w:tcPr>
            <w:tcW w:w="1107" w:type="pct"/>
            <w:vAlign w:val="center"/>
          </w:tcPr>
          <w:p w:rsidR="007079C4" w:rsidRPr="00A036BF" w:rsidRDefault="007079C4" w:rsidP="00C06EC5">
            <w:pPr>
              <w:jc w:val="center"/>
              <w:rPr>
                <w:sz w:val="20"/>
                <w:szCs w:val="20"/>
              </w:rPr>
            </w:pPr>
            <w:r w:rsidRPr="00A036BF">
              <w:rPr>
                <w:sz w:val="20"/>
                <w:szCs w:val="20"/>
              </w:rPr>
              <w:t>30yrs</w:t>
            </w:r>
          </w:p>
        </w:tc>
      </w:tr>
      <w:tr w:rsidR="007079C4" w:rsidRPr="00A036BF" w:rsidTr="007079C4">
        <w:trPr>
          <w:cantSplit/>
        </w:trPr>
        <w:tc>
          <w:tcPr>
            <w:tcW w:w="1114" w:type="pct"/>
            <w:vAlign w:val="center"/>
          </w:tcPr>
          <w:p w:rsidR="007079C4" w:rsidRPr="00A036BF" w:rsidRDefault="007079C4" w:rsidP="00C06EC5">
            <w:pPr>
              <w:spacing w:after="120"/>
              <w:rPr>
                <w:sz w:val="20"/>
                <w:szCs w:val="20"/>
              </w:rPr>
            </w:pPr>
            <w:r w:rsidRPr="00A036BF">
              <w:rPr>
                <w:sz w:val="20"/>
                <w:szCs w:val="20"/>
              </w:rPr>
              <w:t>Government Bond Repurchase agreements (Repo/Reverse Repo)</w:t>
            </w:r>
          </w:p>
        </w:tc>
        <w:tc>
          <w:tcPr>
            <w:tcW w:w="777" w:type="pct"/>
            <w:vAlign w:val="center"/>
          </w:tcPr>
          <w:p w:rsidR="007079C4" w:rsidRPr="00A036BF" w:rsidRDefault="007079C4" w:rsidP="00C06EC5">
            <w:pPr>
              <w:spacing w:after="120"/>
              <w:jc w:val="center"/>
              <w:rPr>
                <w:sz w:val="20"/>
                <w:szCs w:val="20"/>
              </w:rPr>
            </w:pPr>
            <w:r w:rsidRPr="00A036BF">
              <w:rPr>
                <w:sz w:val="20"/>
                <w:szCs w:val="20"/>
              </w:rPr>
              <w:t>AA+</w:t>
            </w:r>
          </w:p>
        </w:tc>
        <w:tc>
          <w:tcPr>
            <w:tcW w:w="1001" w:type="pct"/>
            <w:vAlign w:val="center"/>
          </w:tcPr>
          <w:p w:rsidR="007079C4" w:rsidRPr="00A036BF" w:rsidRDefault="007079C4" w:rsidP="00C06EC5">
            <w:pPr>
              <w:spacing w:after="120"/>
              <w:jc w:val="center"/>
              <w:rPr>
                <w:sz w:val="20"/>
                <w:szCs w:val="20"/>
              </w:rPr>
            </w:pPr>
            <w:r w:rsidRPr="00A036BF">
              <w:rPr>
                <w:sz w:val="20"/>
                <w:szCs w:val="20"/>
              </w:rPr>
              <w:t>100</w:t>
            </w:r>
          </w:p>
        </w:tc>
        <w:tc>
          <w:tcPr>
            <w:tcW w:w="1001" w:type="pct"/>
            <w:vAlign w:val="center"/>
          </w:tcPr>
          <w:p w:rsidR="007079C4" w:rsidRPr="00A036BF" w:rsidRDefault="007079C4" w:rsidP="00C06EC5">
            <w:pPr>
              <w:spacing w:after="120"/>
              <w:jc w:val="center"/>
              <w:rPr>
                <w:sz w:val="20"/>
                <w:szCs w:val="20"/>
              </w:rPr>
            </w:pPr>
            <w:r w:rsidRPr="00A036BF">
              <w:rPr>
                <w:sz w:val="20"/>
                <w:szCs w:val="20"/>
              </w:rPr>
              <w:t>250</w:t>
            </w:r>
          </w:p>
        </w:tc>
        <w:tc>
          <w:tcPr>
            <w:tcW w:w="1107" w:type="pct"/>
            <w:vAlign w:val="center"/>
          </w:tcPr>
          <w:p w:rsidR="007079C4" w:rsidRPr="00A036BF" w:rsidRDefault="007079C4" w:rsidP="00C06EC5">
            <w:pPr>
              <w:spacing w:after="120"/>
              <w:jc w:val="center"/>
              <w:rPr>
                <w:sz w:val="20"/>
                <w:szCs w:val="20"/>
              </w:rPr>
            </w:pPr>
            <w:r w:rsidRPr="00A036BF">
              <w:rPr>
                <w:sz w:val="20"/>
                <w:szCs w:val="20"/>
              </w:rPr>
              <w:t>1yr</w:t>
            </w:r>
          </w:p>
        </w:tc>
      </w:tr>
      <w:tr w:rsidR="007079C4" w:rsidRPr="00A036BF" w:rsidTr="007079C4">
        <w:trPr>
          <w:cantSplit/>
        </w:trPr>
        <w:tc>
          <w:tcPr>
            <w:tcW w:w="1114" w:type="pct"/>
          </w:tcPr>
          <w:p w:rsidR="007079C4" w:rsidRPr="00A036BF" w:rsidRDefault="007079C4" w:rsidP="00C06EC5">
            <w:pPr>
              <w:spacing w:after="240"/>
              <w:rPr>
                <w:sz w:val="20"/>
                <w:szCs w:val="20"/>
              </w:rPr>
            </w:pPr>
          </w:p>
          <w:p w:rsidR="007079C4" w:rsidRPr="00A036BF" w:rsidRDefault="007079C4" w:rsidP="00C06EC5">
            <w:pPr>
              <w:spacing w:after="240"/>
              <w:rPr>
                <w:sz w:val="20"/>
                <w:szCs w:val="20"/>
              </w:rPr>
            </w:pPr>
            <w:r w:rsidRPr="00A036BF">
              <w:rPr>
                <w:sz w:val="20"/>
                <w:szCs w:val="20"/>
              </w:rPr>
              <w:t>Bond Funds</w:t>
            </w:r>
          </w:p>
        </w:tc>
        <w:tc>
          <w:tcPr>
            <w:tcW w:w="777" w:type="pct"/>
            <w:vAlign w:val="center"/>
          </w:tcPr>
          <w:p w:rsidR="007079C4" w:rsidRPr="00A036BF" w:rsidRDefault="007079C4" w:rsidP="00C06EC5">
            <w:pPr>
              <w:jc w:val="center"/>
              <w:rPr>
                <w:sz w:val="20"/>
                <w:szCs w:val="20"/>
              </w:rPr>
            </w:pPr>
          </w:p>
          <w:p w:rsidR="007079C4" w:rsidRPr="00A036BF" w:rsidRDefault="007079C4" w:rsidP="00C06EC5">
            <w:pPr>
              <w:jc w:val="center"/>
              <w:rPr>
                <w:sz w:val="20"/>
                <w:szCs w:val="20"/>
              </w:rPr>
            </w:pPr>
            <w:r w:rsidRPr="00A036BF">
              <w:rPr>
                <w:sz w:val="20"/>
                <w:szCs w:val="20"/>
              </w:rPr>
              <w:t>AA Rated weighted average maturity 3yrs</w:t>
            </w:r>
          </w:p>
        </w:tc>
        <w:tc>
          <w:tcPr>
            <w:tcW w:w="1001" w:type="pct"/>
            <w:vAlign w:val="center"/>
          </w:tcPr>
          <w:p w:rsidR="007079C4" w:rsidRPr="00A036BF" w:rsidRDefault="007079C4" w:rsidP="00C06EC5">
            <w:pPr>
              <w:spacing w:after="240"/>
              <w:jc w:val="center"/>
              <w:rPr>
                <w:sz w:val="20"/>
                <w:szCs w:val="20"/>
              </w:rPr>
            </w:pPr>
            <w:r w:rsidRPr="00A036BF">
              <w:rPr>
                <w:sz w:val="20"/>
                <w:szCs w:val="20"/>
              </w:rPr>
              <w:t>100</w:t>
            </w:r>
          </w:p>
        </w:tc>
        <w:tc>
          <w:tcPr>
            <w:tcW w:w="1001" w:type="pct"/>
            <w:vAlign w:val="center"/>
          </w:tcPr>
          <w:p w:rsidR="007079C4" w:rsidRPr="00A036BF" w:rsidRDefault="007079C4" w:rsidP="00C06EC5">
            <w:pPr>
              <w:spacing w:after="240"/>
              <w:jc w:val="center"/>
              <w:rPr>
                <w:sz w:val="20"/>
                <w:szCs w:val="20"/>
              </w:rPr>
            </w:pPr>
            <w:r w:rsidRPr="00A036BF">
              <w:rPr>
                <w:sz w:val="20"/>
                <w:szCs w:val="20"/>
              </w:rPr>
              <w:t>250</w:t>
            </w:r>
          </w:p>
        </w:tc>
        <w:tc>
          <w:tcPr>
            <w:tcW w:w="1107" w:type="pct"/>
            <w:vAlign w:val="center"/>
          </w:tcPr>
          <w:p w:rsidR="007079C4" w:rsidRPr="00A036BF" w:rsidRDefault="007079C4" w:rsidP="00C06EC5">
            <w:pPr>
              <w:spacing w:after="240"/>
              <w:jc w:val="center"/>
              <w:rPr>
                <w:sz w:val="20"/>
                <w:szCs w:val="20"/>
              </w:rPr>
            </w:pPr>
            <w:r w:rsidRPr="00A036BF">
              <w:rPr>
                <w:sz w:val="20"/>
                <w:szCs w:val="20"/>
              </w:rPr>
              <w:t>These investments do not have a defined maturity date.</w:t>
            </w:r>
          </w:p>
        </w:tc>
      </w:tr>
      <w:tr w:rsidR="007079C4" w:rsidRPr="00A036BF" w:rsidTr="007079C4">
        <w:tc>
          <w:tcPr>
            <w:tcW w:w="1114" w:type="pct"/>
            <w:vAlign w:val="center"/>
          </w:tcPr>
          <w:p w:rsidR="007079C4" w:rsidRPr="00A036BF" w:rsidRDefault="007079C4" w:rsidP="00C06EC5">
            <w:pPr>
              <w:pStyle w:val="Header"/>
              <w:spacing w:after="120"/>
              <w:rPr>
                <w:rFonts w:ascii="Arial" w:hAnsi="Arial" w:cs="Arial"/>
                <w:sz w:val="20"/>
                <w:szCs w:val="20"/>
              </w:rPr>
            </w:pPr>
            <w:r w:rsidRPr="00A036BF">
              <w:rPr>
                <w:rFonts w:ascii="Arial" w:hAnsi="Arial" w:cs="Arial"/>
                <w:sz w:val="20"/>
                <w:szCs w:val="20"/>
              </w:rPr>
              <w:t>Debt Management Account Deposit Facility</w:t>
            </w:r>
          </w:p>
        </w:tc>
        <w:tc>
          <w:tcPr>
            <w:tcW w:w="777" w:type="pct"/>
            <w:vAlign w:val="center"/>
          </w:tcPr>
          <w:p w:rsidR="007079C4" w:rsidRPr="00A036BF" w:rsidRDefault="007079C4" w:rsidP="00C06EC5">
            <w:pPr>
              <w:pStyle w:val="Header"/>
              <w:rPr>
                <w:rFonts w:ascii="Arial" w:hAnsi="Arial" w:cs="Arial"/>
                <w:sz w:val="20"/>
                <w:szCs w:val="20"/>
              </w:rPr>
            </w:pPr>
            <w:r w:rsidRPr="00A036BF">
              <w:rPr>
                <w:rFonts w:ascii="Arial" w:hAnsi="Arial" w:cs="Arial"/>
                <w:sz w:val="20"/>
                <w:szCs w:val="20"/>
              </w:rPr>
              <w:t>Government Institution</w:t>
            </w:r>
          </w:p>
        </w:tc>
        <w:tc>
          <w:tcPr>
            <w:tcW w:w="1001" w:type="pct"/>
            <w:vAlign w:val="center"/>
          </w:tcPr>
          <w:p w:rsidR="007079C4" w:rsidRPr="00A036BF" w:rsidRDefault="007079C4" w:rsidP="00C06EC5">
            <w:pPr>
              <w:jc w:val="center"/>
              <w:rPr>
                <w:sz w:val="20"/>
                <w:szCs w:val="20"/>
              </w:rPr>
            </w:pPr>
            <w:r w:rsidRPr="00A036BF">
              <w:rPr>
                <w:sz w:val="20"/>
                <w:szCs w:val="20"/>
              </w:rPr>
              <w:t>unlimited</w:t>
            </w:r>
          </w:p>
        </w:tc>
        <w:tc>
          <w:tcPr>
            <w:tcW w:w="1001" w:type="pct"/>
            <w:vAlign w:val="center"/>
          </w:tcPr>
          <w:p w:rsidR="007079C4" w:rsidRPr="00A036BF" w:rsidRDefault="007079C4" w:rsidP="00C06EC5">
            <w:pPr>
              <w:jc w:val="center"/>
              <w:rPr>
                <w:sz w:val="20"/>
                <w:szCs w:val="20"/>
              </w:rPr>
            </w:pPr>
            <w:r w:rsidRPr="00A036BF">
              <w:rPr>
                <w:sz w:val="20"/>
                <w:szCs w:val="20"/>
              </w:rPr>
              <w:t>unlimited</w:t>
            </w:r>
          </w:p>
        </w:tc>
        <w:tc>
          <w:tcPr>
            <w:tcW w:w="1107" w:type="pct"/>
            <w:vAlign w:val="center"/>
          </w:tcPr>
          <w:p w:rsidR="007079C4" w:rsidRPr="00A036BF" w:rsidRDefault="007079C4" w:rsidP="00C06EC5">
            <w:pPr>
              <w:jc w:val="center"/>
              <w:rPr>
                <w:sz w:val="20"/>
                <w:szCs w:val="20"/>
              </w:rPr>
            </w:pPr>
            <w:r w:rsidRPr="00A036BF">
              <w:rPr>
                <w:sz w:val="20"/>
                <w:szCs w:val="20"/>
              </w:rPr>
              <w:t>364 days</w:t>
            </w:r>
          </w:p>
        </w:tc>
      </w:tr>
      <w:tr w:rsidR="007079C4" w:rsidRPr="00A036BF" w:rsidTr="007079C4">
        <w:trPr>
          <w:trHeight w:val="462"/>
        </w:trPr>
        <w:tc>
          <w:tcPr>
            <w:tcW w:w="1114" w:type="pct"/>
            <w:vAlign w:val="center"/>
          </w:tcPr>
          <w:p w:rsidR="007079C4" w:rsidRPr="00A036BF" w:rsidRDefault="007079C4" w:rsidP="00C06EC5">
            <w:pPr>
              <w:pStyle w:val="Header"/>
              <w:spacing w:after="120"/>
              <w:rPr>
                <w:rFonts w:ascii="Arial" w:hAnsi="Arial" w:cs="Arial"/>
                <w:sz w:val="20"/>
                <w:szCs w:val="20"/>
              </w:rPr>
            </w:pPr>
            <w:r w:rsidRPr="00A036BF">
              <w:rPr>
                <w:rFonts w:ascii="Arial" w:hAnsi="Arial" w:cs="Arial"/>
                <w:sz w:val="20"/>
                <w:szCs w:val="20"/>
              </w:rPr>
              <w:t>UK Local Authorities (incl Transport for London)</w:t>
            </w:r>
          </w:p>
        </w:tc>
        <w:tc>
          <w:tcPr>
            <w:tcW w:w="777" w:type="pct"/>
            <w:vAlign w:val="center"/>
          </w:tcPr>
          <w:p w:rsidR="007079C4" w:rsidRPr="00A036BF" w:rsidRDefault="007079C4" w:rsidP="00C06EC5">
            <w:pPr>
              <w:pStyle w:val="Header"/>
              <w:spacing w:after="120"/>
              <w:rPr>
                <w:rFonts w:ascii="Arial" w:hAnsi="Arial" w:cs="Arial"/>
                <w:sz w:val="20"/>
                <w:szCs w:val="20"/>
              </w:rPr>
            </w:pPr>
            <w:r w:rsidRPr="00A036BF">
              <w:rPr>
                <w:rFonts w:ascii="Arial" w:hAnsi="Arial" w:cs="Arial"/>
                <w:sz w:val="20"/>
                <w:szCs w:val="20"/>
              </w:rPr>
              <w:t>Implied Government  support</w:t>
            </w:r>
          </w:p>
        </w:tc>
        <w:tc>
          <w:tcPr>
            <w:tcW w:w="1001" w:type="pct"/>
            <w:vAlign w:val="center"/>
          </w:tcPr>
          <w:p w:rsidR="007079C4" w:rsidRPr="00A036BF" w:rsidRDefault="007079C4" w:rsidP="00C06EC5">
            <w:pPr>
              <w:spacing w:after="120"/>
              <w:jc w:val="center"/>
              <w:rPr>
                <w:sz w:val="20"/>
                <w:szCs w:val="20"/>
              </w:rPr>
            </w:pPr>
            <w:r w:rsidRPr="00A036BF">
              <w:rPr>
                <w:sz w:val="20"/>
                <w:szCs w:val="20"/>
              </w:rPr>
              <w:t>100</w:t>
            </w:r>
          </w:p>
        </w:tc>
        <w:tc>
          <w:tcPr>
            <w:tcW w:w="1001" w:type="pct"/>
            <w:vAlign w:val="center"/>
          </w:tcPr>
          <w:p w:rsidR="007079C4" w:rsidRPr="00A036BF" w:rsidRDefault="007079C4" w:rsidP="00C06EC5">
            <w:pPr>
              <w:spacing w:after="120"/>
              <w:jc w:val="center"/>
              <w:rPr>
                <w:sz w:val="20"/>
                <w:szCs w:val="20"/>
              </w:rPr>
            </w:pPr>
            <w:r w:rsidRPr="00A036BF">
              <w:rPr>
                <w:sz w:val="20"/>
                <w:szCs w:val="20"/>
              </w:rPr>
              <w:t>500</w:t>
            </w:r>
          </w:p>
        </w:tc>
        <w:tc>
          <w:tcPr>
            <w:tcW w:w="1107" w:type="pct"/>
            <w:vAlign w:val="center"/>
          </w:tcPr>
          <w:p w:rsidR="007079C4" w:rsidRPr="00A036BF" w:rsidRDefault="007079C4" w:rsidP="00C06EC5">
            <w:pPr>
              <w:spacing w:after="120"/>
              <w:jc w:val="center"/>
              <w:rPr>
                <w:sz w:val="20"/>
                <w:szCs w:val="20"/>
              </w:rPr>
            </w:pPr>
            <w:r w:rsidRPr="00A036BF">
              <w:rPr>
                <w:sz w:val="20"/>
                <w:szCs w:val="20"/>
              </w:rPr>
              <w:t>50yrs</w:t>
            </w:r>
          </w:p>
        </w:tc>
      </w:tr>
      <w:tr w:rsidR="007079C4" w:rsidRPr="00A036BF" w:rsidTr="007079C4">
        <w:trPr>
          <w:trHeight w:val="1410"/>
        </w:trPr>
        <w:tc>
          <w:tcPr>
            <w:tcW w:w="1114" w:type="pct"/>
            <w:vAlign w:val="center"/>
          </w:tcPr>
          <w:p w:rsidR="007079C4" w:rsidRPr="00A036BF" w:rsidRDefault="007079C4" w:rsidP="00C06EC5">
            <w:pPr>
              <w:pStyle w:val="Header"/>
              <w:rPr>
                <w:rFonts w:ascii="Arial" w:hAnsi="Arial" w:cs="Arial"/>
                <w:sz w:val="20"/>
                <w:szCs w:val="20"/>
              </w:rPr>
            </w:pPr>
            <w:r w:rsidRPr="00A036BF">
              <w:rPr>
                <w:rFonts w:ascii="Arial" w:hAnsi="Arial" w:cs="Arial"/>
                <w:sz w:val="20"/>
                <w:szCs w:val="20"/>
              </w:rPr>
              <w:t>Money Market Funds</w:t>
            </w:r>
          </w:p>
        </w:tc>
        <w:tc>
          <w:tcPr>
            <w:tcW w:w="777" w:type="pct"/>
            <w:vAlign w:val="center"/>
          </w:tcPr>
          <w:p w:rsidR="007079C4" w:rsidRPr="00A036BF" w:rsidRDefault="007079C4" w:rsidP="00C06EC5">
            <w:pPr>
              <w:pStyle w:val="Header"/>
              <w:rPr>
                <w:rFonts w:ascii="Arial" w:hAnsi="Arial" w:cs="Arial"/>
                <w:sz w:val="20"/>
                <w:szCs w:val="20"/>
              </w:rPr>
            </w:pPr>
            <w:r w:rsidRPr="00A036BF">
              <w:rPr>
                <w:rFonts w:ascii="Arial" w:hAnsi="Arial" w:cs="Arial"/>
                <w:sz w:val="20"/>
                <w:szCs w:val="20"/>
              </w:rPr>
              <w:t xml:space="preserve">AAA Rated, weighted average maturity 6 months </w:t>
            </w:r>
          </w:p>
        </w:tc>
        <w:tc>
          <w:tcPr>
            <w:tcW w:w="1001" w:type="pct"/>
            <w:vAlign w:val="center"/>
          </w:tcPr>
          <w:p w:rsidR="007079C4" w:rsidRPr="00A036BF" w:rsidRDefault="007079C4" w:rsidP="00C06EC5">
            <w:pPr>
              <w:jc w:val="center"/>
              <w:rPr>
                <w:sz w:val="20"/>
                <w:szCs w:val="20"/>
              </w:rPr>
            </w:pPr>
            <w:r w:rsidRPr="00A036BF">
              <w:rPr>
                <w:sz w:val="20"/>
                <w:szCs w:val="20"/>
              </w:rPr>
              <w:t>100</w:t>
            </w:r>
          </w:p>
        </w:tc>
        <w:tc>
          <w:tcPr>
            <w:tcW w:w="1001" w:type="pct"/>
            <w:vAlign w:val="center"/>
          </w:tcPr>
          <w:p w:rsidR="007079C4" w:rsidRPr="00A036BF" w:rsidRDefault="007079C4" w:rsidP="00C06EC5">
            <w:pPr>
              <w:jc w:val="center"/>
              <w:rPr>
                <w:sz w:val="20"/>
                <w:szCs w:val="20"/>
              </w:rPr>
            </w:pPr>
            <w:r w:rsidRPr="00A036BF">
              <w:rPr>
                <w:sz w:val="20"/>
                <w:szCs w:val="20"/>
              </w:rPr>
              <w:t>300</w:t>
            </w:r>
          </w:p>
        </w:tc>
        <w:tc>
          <w:tcPr>
            <w:tcW w:w="1107" w:type="pct"/>
            <w:vAlign w:val="center"/>
          </w:tcPr>
          <w:p w:rsidR="007079C4" w:rsidRPr="00A036BF" w:rsidRDefault="007079C4" w:rsidP="00C06EC5">
            <w:pPr>
              <w:rPr>
                <w:sz w:val="20"/>
                <w:szCs w:val="20"/>
              </w:rPr>
            </w:pPr>
            <w:r w:rsidRPr="00A036BF">
              <w:rPr>
                <w:sz w:val="20"/>
                <w:szCs w:val="20"/>
              </w:rPr>
              <w:t>These investments do not have a defined maturity date.</w:t>
            </w:r>
          </w:p>
        </w:tc>
      </w:tr>
      <w:tr w:rsidR="007079C4" w:rsidRPr="00A036BF" w:rsidTr="007079C4">
        <w:trPr>
          <w:trHeight w:val="1410"/>
        </w:trPr>
        <w:tc>
          <w:tcPr>
            <w:tcW w:w="1114" w:type="pct"/>
            <w:vAlign w:val="center"/>
          </w:tcPr>
          <w:p w:rsidR="007079C4" w:rsidRPr="00A036BF" w:rsidRDefault="007079C4" w:rsidP="00C06EC5">
            <w:pPr>
              <w:pStyle w:val="Header"/>
              <w:rPr>
                <w:rFonts w:ascii="Arial" w:hAnsi="Arial" w:cs="Arial"/>
                <w:sz w:val="20"/>
                <w:szCs w:val="20"/>
              </w:rPr>
            </w:pPr>
            <w:r w:rsidRPr="00A036BF">
              <w:rPr>
                <w:rFonts w:ascii="Arial" w:hAnsi="Arial" w:cs="Arial"/>
                <w:sz w:val="20"/>
                <w:szCs w:val="20"/>
              </w:rPr>
              <w:t>Collateralised lending agreements backed by higher quality government or local government and supra national sterling securities.</w:t>
            </w:r>
          </w:p>
        </w:tc>
        <w:tc>
          <w:tcPr>
            <w:tcW w:w="777" w:type="pct"/>
            <w:vAlign w:val="center"/>
          </w:tcPr>
          <w:p w:rsidR="007079C4" w:rsidRPr="00A036BF" w:rsidRDefault="007079C4" w:rsidP="00C06EC5">
            <w:pPr>
              <w:pStyle w:val="Header"/>
              <w:rPr>
                <w:rFonts w:ascii="Arial" w:hAnsi="Arial" w:cs="Arial"/>
                <w:sz w:val="20"/>
                <w:szCs w:val="20"/>
              </w:rPr>
            </w:pPr>
            <w:r w:rsidRPr="00A036BF">
              <w:rPr>
                <w:rFonts w:ascii="Arial" w:hAnsi="Arial" w:cs="Arial"/>
                <w:sz w:val="20"/>
                <w:szCs w:val="20"/>
              </w:rPr>
              <w:t>AA, with AAA for any collateral used</w:t>
            </w:r>
          </w:p>
        </w:tc>
        <w:tc>
          <w:tcPr>
            <w:tcW w:w="1001" w:type="pct"/>
            <w:vAlign w:val="center"/>
          </w:tcPr>
          <w:p w:rsidR="007079C4" w:rsidRPr="00A036BF" w:rsidRDefault="007079C4" w:rsidP="00C06EC5">
            <w:pPr>
              <w:jc w:val="center"/>
              <w:rPr>
                <w:sz w:val="20"/>
                <w:szCs w:val="20"/>
              </w:rPr>
            </w:pPr>
            <w:r w:rsidRPr="00A036BF">
              <w:rPr>
                <w:sz w:val="20"/>
                <w:szCs w:val="20"/>
              </w:rPr>
              <w:t>100</w:t>
            </w:r>
          </w:p>
        </w:tc>
        <w:tc>
          <w:tcPr>
            <w:tcW w:w="1001" w:type="pct"/>
            <w:vAlign w:val="center"/>
          </w:tcPr>
          <w:p w:rsidR="007079C4" w:rsidRPr="00A036BF" w:rsidRDefault="007079C4" w:rsidP="00C06EC5">
            <w:pPr>
              <w:jc w:val="center"/>
              <w:rPr>
                <w:sz w:val="20"/>
                <w:szCs w:val="20"/>
              </w:rPr>
            </w:pPr>
            <w:r w:rsidRPr="00A036BF">
              <w:rPr>
                <w:sz w:val="20"/>
                <w:szCs w:val="20"/>
              </w:rPr>
              <w:t>250</w:t>
            </w:r>
          </w:p>
        </w:tc>
        <w:tc>
          <w:tcPr>
            <w:tcW w:w="1107" w:type="pct"/>
            <w:vAlign w:val="center"/>
          </w:tcPr>
          <w:p w:rsidR="007079C4" w:rsidRPr="00A036BF" w:rsidRDefault="007079C4" w:rsidP="00C06EC5">
            <w:pPr>
              <w:jc w:val="center"/>
              <w:rPr>
                <w:sz w:val="20"/>
                <w:szCs w:val="20"/>
              </w:rPr>
            </w:pPr>
            <w:r w:rsidRPr="00A036BF">
              <w:rPr>
                <w:sz w:val="20"/>
                <w:szCs w:val="20"/>
              </w:rPr>
              <w:t>25yrs</w:t>
            </w:r>
          </w:p>
        </w:tc>
      </w:tr>
      <w:tr w:rsidR="007079C4" w:rsidRPr="00A036BF" w:rsidTr="007079C4">
        <w:trPr>
          <w:trHeight w:val="1035"/>
        </w:trPr>
        <w:tc>
          <w:tcPr>
            <w:tcW w:w="1114" w:type="pct"/>
            <w:vAlign w:val="center"/>
          </w:tcPr>
          <w:p w:rsidR="007079C4" w:rsidRPr="00A036BF" w:rsidRDefault="007079C4" w:rsidP="00C06EC5">
            <w:pPr>
              <w:pStyle w:val="Header"/>
              <w:rPr>
                <w:rFonts w:ascii="Arial" w:hAnsi="Arial" w:cs="Arial"/>
                <w:sz w:val="20"/>
                <w:szCs w:val="20"/>
              </w:rPr>
            </w:pPr>
            <w:r w:rsidRPr="00A036BF">
              <w:rPr>
                <w:rFonts w:ascii="Arial" w:hAnsi="Arial" w:cs="Arial"/>
                <w:sz w:val="20"/>
                <w:szCs w:val="20"/>
              </w:rPr>
              <w:t>Nationalised UK Banks</w:t>
            </w:r>
          </w:p>
        </w:tc>
        <w:tc>
          <w:tcPr>
            <w:tcW w:w="777" w:type="pct"/>
            <w:vAlign w:val="center"/>
          </w:tcPr>
          <w:p w:rsidR="007079C4" w:rsidRPr="00A036BF" w:rsidRDefault="007079C4" w:rsidP="00C06EC5">
            <w:pPr>
              <w:pStyle w:val="Header"/>
              <w:rPr>
                <w:rFonts w:ascii="Arial" w:hAnsi="Arial" w:cs="Arial"/>
                <w:sz w:val="20"/>
                <w:szCs w:val="20"/>
              </w:rPr>
            </w:pPr>
            <w:r w:rsidRPr="00A036BF">
              <w:rPr>
                <w:rFonts w:ascii="Arial" w:hAnsi="Arial" w:cs="Arial"/>
                <w:sz w:val="20"/>
                <w:szCs w:val="20"/>
              </w:rPr>
              <w:t xml:space="preserve">  P1/A1/F1</w:t>
            </w:r>
          </w:p>
          <w:p w:rsidR="007079C4" w:rsidRPr="00A036BF" w:rsidRDefault="007079C4" w:rsidP="00C06EC5">
            <w:pPr>
              <w:pStyle w:val="Header"/>
              <w:rPr>
                <w:rFonts w:ascii="Arial" w:hAnsi="Arial" w:cs="Arial"/>
                <w:sz w:val="20"/>
                <w:szCs w:val="20"/>
              </w:rPr>
            </w:pPr>
            <w:r w:rsidRPr="00A036BF">
              <w:rPr>
                <w:rFonts w:ascii="Arial" w:hAnsi="Arial" w:cs="Arial"/>
                <w:sz w:val="20"/>
                <w:szCs w:val="20"/>
              </w:rPr>
              <w:t>Long term A Government support</w:t>
            </w:r>
          </w:p>
        </w:tc>
        <w:tc>
          <w:tcPr>
            <w:tcW w:w="1001" w:type="pct"/>
            <w:vAlign w:val="center"/>
          </w:tcPr>
          <w:p w:rsidR="007079C4" w:rsidRPr="00A036BF" w:rsidRDefault="007079C4" w:rsidP="00C06EC5">
            <w:pPr>
              <w:jc w:val="center"/>
              <w:rPr>
                <w:sz w:val="20"/>
                <w:szCs w:val="20"/>
              </w:rPr>
            </w:pPr>
            <w:r w:rsidRPr="00A036BF">
              <w:rPr>
                <w:sz w:val="20"/>
                <w:szCs w:val="20"/>
              </w:rPr>
              <w:t>100</w:t>
            </w:r>
          </w:p>
        </w:tc>
        <w:tc>
          <w:tcPr>
            <w:tcW w:w="1001" w:type="pct"/>
            <w:vAlign w:val="center"/>
          </w:tcPr>
          <w:p w:rsidR="007079C4" w:rsidRPr="00A036BF" w:rsidRDefault="007079C4" w:rsidP="00C06EC5">
            <w:pPr>
              <w:jc w:val="center"/>
              <w:rPr>
                <w:sz w:val="20"/>
                <w:szCs w:val="20"/>
              </w:rPr>
            </w:pPr>
            <w:r w:rsidRPr="00A036BF">
              <w:rPr>
                <w:sz w:val="20"/>
                <w:szCs w:val="20"/>
              </w:rPr>
              <w:t>400</w:t>
            </w:r>
          </w:p>
        </w:tc>
        <w:tc>
          <w:tcPr>
            <w:tcW w:w="1107" w:type="pct"/>
            <w:vAlign w:val="center"/>
          </w:tcPr>
          <w:p w:rsidR="007079C4" w:rsidRPr="00A036BF" w:rsidRDefault="007079C4" w:rsidP="00C06EC5">
            <w:pPr>
              <w:jc w:val="center"/>
              <w:rPr>
                <w:sz w:val="20"/>
                <w:szCs w:val="20"/>
              </w:rPr>
            </w:pPr>
            <w:r w:rsidRPr="00A036BF">
              <w:rPr>
                <w:sz w:val="20"/>
                <w:szCs w:val="20"/>
              </w:rPr>
              <w:t>In line with clearing system guarantee (currently 4 years.)</w:t>
            </w:r>
          </w:p>
        </w:tc>
      </w:tr>
    </w:tbl>
    <w:p w:rsidR="00C2176F" w:rsidRPr="00A036BF" w:rsidRDefault="00C2176F" w:rsidP="00C06EC5">
      <w:pPr>
        <w:spacing w:after="240"/>
        <w:jc w:val="both"/>
      </w:pPr>
    </w:p>
    <w:p w:rsidR="00BF289B" w:rsidRPr="00A036BF" w:rsidRDefault="00C06EC5" w:rsidP="00C06EC5">
      <w:pPr>
        <w:spacing w:after="240"/>
        <w:jc w:val="both"/>
        <w:rPr>
          <w:b/>
          <w:bCs/>
        </w:rPr>
      </w:pPr>
      <w:r w:rsidRPr="00A036BF">
        <w:t xml:space="preserve">The placing of residual overnight deposits with the County Council’s bank, National Westminster, will not count against the above individual limits but </w:t>
      </w:r>
      <w:r w:rsidR="007079C4" w:rsidRPr="00A036BF">
        <w:t xml:space="preserve">in practice a </w:t>
      </w:r>
      <w:r w:rsidR="008742CA">
        <w:t xml:space="preserve">maximum balance of </w:t>
      </w:r>
      <w:r w:rsidR="008742CA" w:rsidRPr="00A036BF">
        <w:t xml:space="preserve"> </w:t>
      </w:r>
      <w:r w:rsidR="007079C4" w:rsidRPr="00A036BF">
        <w:t>£50 million adhered to whenever possible.</w:t>
      </w:r>
    </w:p>
    <w:p w:rsidR="00FF008E" w:rsidRPr="00A036BF" w:rsidRDefault="004A19C1">
      <w:pPr>
        <w:spacing w:after="200" w:line="276" w:lineRule="auto"/>
        <w:rPr>
          <w:i/>
        </w:rPr>
      </w:pPr>
      <w:r w:rsidRPr="00A036BF">
        <w:rPr>
          <w:i/>
        </w:rPr>
        <w:t>Types of Investment</w:t>
      </w:r>
    </w:p>
    <w:p w:rsidR="00FF008E" w:rsidRPr="00A036BF" w:rsidRDefault="00FF008E" w:rsidP="00FF008E">
      <w:pPr>
        <w:jc w:val="both"/>
      </w:pPr>
      <w:r w:rsidRPr="00A036BF">
        <w:t>The CLG Guidance defines two types of investment, firstly specified investments which are those:</w:t>
      </w:r>
    </w:p>
    <w:p w:rsidR="00015456" w:rsidRPr="00A036BF" w:rsidRDefault="00015456" w:rsidP="00FF008E">
      <w:pPr>
        <w:jc w:val="both"/>
      </w:pPr>
    </w:p>
    <w:p w:rsidR="00FF008E" w:rsidRPr="00A036BF" w:rsidRDefault="00FF008E" w:rsidP="00574AC0">
      <w:pPr>
        <w:numPr>
          <w:ilvl w:val="0"/>
          <w:numId w:val="2"/>
        </w:numPr>
        <w:jc w:val="both"/>
      </w:pPr>
      <w:r w:rsidRPr="00A036BF">
        <w:t>denominated in pound sterling,</w:t>
      </w:r>
    </w:p>
    <w:p w:rsidR="00FF008E" w:rsidRPr="00A036BF" w:rsidRDefault="00FF008E" w:rsidP="00574AC0">
      <w:pPr>
        <w:numPr>
          <w:ilvl w:val="0"/>
          <w:numId w:val="2"/>
        </w:numPr>
        <w:jc w:val="both"/>
      </w:pPr>
      <w:r w:rsidRPr="00A036BF">
        <w:t xml:space="preserve">due to be repaid within 12 months of </w:t>
      </w:r>
      <w:r w:rsidR="00015456" w:rsidRPr="00A036BF">
        <w:t xml:space="preserve">the </w:t>
      </w:r>
      <w:r w:rsidRPr="00A036BF">
        <w:t>arrangement,</w:t>
      </w:r>
    </w:p>
    <w:p w:rsidR="00FF008E" w:rsidRPr="00A036BF" w:rsidRDefault="00FF008E" w:rsidP="00574AC0">
      <w:pPr>
        <w:numPr>
          <w:ilvl w:val="0"/>
          <w:numId w:val="2"/>
        </w:numPr>
        <w:jc w:val="both"/>
      </w:pPr>
      <w:r w:rsidRPr="00A036BF">
        <w:t>not defined as capital expenditure by legislation, and</w:t>
      </w:r>
    </w:p>
    <w:p w:rsidR="00FF008E" w:rsidRPr="00A036BF" w:rsidRDefault="00FF008E" w:rsidP="00574AC0">
      <w:pPr>
        <w:numPr>
          <w:ilvl w:val="0"/>
          <w:numId w:val="2"/>
        </w:numPr>
        <w:jc w:val="both"/>
      </w:pPr>
      <w:r w:rsidRPr="00A036BF">
        <w:t>invested with one of:</w:t>
      </w:r>
    </w:p>
    <w:p w:rsidR="00FF008E" w:rsidRPr="00A036BF" w:rsidRDefault="00FF008E" w:rsidP="00574AC0">
      <w:pPr>
        <w:numPr>
          <w:ilvl w:val="1"/>
          <w:numId w:val="2"/>
        </w:numPr>
        <w:jc w:val="both"/>
      </w:pPr>
      <w:r w:rsidRPr="00A036BF">
        <w:t>the UK Government,</w:t>
      </w:r>
    </w:p>
    <w:p w:rsidR="00FF008E" w:rsidRPr="00A036BF" w:rsidRDefault="00FF008E" w:rsidP="00574AC0">
      <w:pPr>
        <w:numPr>
          <w:ilvl w:val="1"/>
          <w:numId w:val="2"/>
        </w:numPr>
        <w:jc w:val="both"/>
      </w:pPr>
      <w:r w:rsidRPr="00A036BF">
        <w:t>a UK local authority, parish council or community council, or</w:t>
      </w:r>
    </w:p>
    <w:p w:rsidR="00FF008E" w:rsidRPr="00A036BF" w:rsidRDefault="00FF008E" w:rsidP="00574AC0">
      <w:pPr>
        <w:numPr>
          <w:ilvl w:val="1"/>
          <w:numId w:val="2"/>
        </w:numPr>
        <w:jc w:val="both"/>
      </w:pPr>
      <w:proofErr w:type="gramStart"/>
      <w:r w:rsidRPr="00A036BF">
        <w:t>a</w:t>
      </w:r>
      <w:proofErr w:type="gramEnd"/>
      <w:r w:rsidRPr="00A036BF">
        <w:t xml:space="preserve"> body or investment scheme of “high credit quality”.</w:t>
      </w:r>
    </w:p>
    <w:p w:rsidR="00FF008E" w:rsidRPr="00A036BF" w:rsidRDefault="00FF008E" w:rsidP="00FF008E">
      <w:pPr>
        <w:jc w:val="both"/>
      </w:pPr>
    </w:p>
    <w:p w:rsidR="00FF008E" w:rsidRPr="00A036BF" w:rsidRDefault="00FF008E" w:rsidP="00FF008E">
      <w:pPr>
        <w:jc w:val="both"/>
      </w:pPr>
      <w:r w:rsidRPr="00A036BF">
        <w:t>Any investment not meeting the definition of a specified investmen</w:t>
      </w:r>
      <w:r w:rsidR="00B474FF">
        <w:t xml:space="preserve">t is classed as non-specified. </w:t>
      </w:r>
      <w:r w:rsidR="00C14F92" w:rsidRPr="00A036BF">
        <w:t xml:space="preserve">Non-specified investments will be limited only to long-term investments, i.e. those that are due to mature 12 months or longer from the date of the arrangement. </w:t>
      </w:r>
      <w:r w:rsidR="00034F77" w:rsidRPr="00A036BF">
        <w:t>T</w:t>
      </w:r>
      <w:r w:rsidRPr="00A036BF">
        <w:t xml:space="preserve">he </w:t>
      </w:r>
      <w:r w:rsidR="00C14F92" w:rsidRPr="00A036BF">
        <w:t xml:space="preserve">County Council will </w:t>
      </w:r>
      <w:r w:rsidRPr="00A036BF">
        <w:t xml:space="preserve">not make any investments denominated in foreign currencies, or with low credit quality </w:t>
      </w:r>
      <w:proofErr w:type="gramStart"/>
      <w:r w:rsidRPr="00A036BF">
        <w:t>bodies,</w:t>
      </w:r>
      <w:proofErr w:type="gramEnd"/>
      <w:r w:rsidRPr="00A036BF">
        <w:t xml:space="preserve"> or any that are defined as capital expenditure by legislation, such as company shares.  </w:t>
      </w:r>
    </w:p>
    <w:p w:rsidR="00FF008E" w:rsidRPr="001143BB" w:rsidRDefault="00FF008E" w:rsidP="00FF008E">
      <w:pPr>
        <w:jc w:val="both"/>
        <w:rPr>
          <w:highlight w:val="yellow"/>
        </w:rPr>
      </w:pPr>
    </w:p>
    <w:p w:rsidR="00025990" w:rsidRPr="00F1617C" w:rsidRDefault="00FF008E" w:rsidP="00574AC0">
      <w:pPr>
        <w:jc w:val="both"/>
      </w:pPr>
      <w:r w:rsidRPr="00F1617C">
        <w:t>The total limit on long-term</w:t>
      </w:r>
      <w:r w:rsidR="00AD15ED" w:rsidRPr="00F1617C">
        <w:t xml:space="preserve"> investments </w:t>
      </w:r>
      <w:r w:rsidRPr="00F1617C">
        <w:t xml:space="preserve">and the total limit on non-specified investments is </w:t>
      </w:r>
      <w:r w:rsidR="00392C2F" w:rsidRPr="00F1617C">
        <w:t>£</w:t>
      </w:r>
      <w:r w:rsidR="00F1617C" w:rsidRPr="00F1617C">
        <w:rPr>
          <w:lang w:eastAsia="en-US"/>
        </w:rPr>
        <w:t>600</w:t>
      </w:r>
      <w:r w:rsidRPr="00F1617C">
        <w:t xml:space="preserve"> million. </w:t>
      </w:r>
      <w:r w:rsidR="00C14F92" w:rsidRPr="00F1617C">
        <w:t>T</w:t>
      </w:r>
      <w:r w:rsidRPr="00F1617C">
        <w:t>his</w:t>
      </w:r>
      <w:r w:rsidR="00AD15ED" w:rsidRPr="00F1617C">
        <w:t xml:space="preserve"> reflects the portfolio structure adopted by the </w:t>
      </w:r>
      <w:r w:rsidR="00550AB8" w:rsidRPr="00F1617C">
        <w:t xml:space="preserve">County </w:t>
      </w:r>
      <w:r w:rsidR="00C14F92" w:rsidRPr="00F1617C">
        <w:t>Council</w:t>
      </w:r>
      <w:r w:rsidR="00AD15ED" w:rsidRPr="00F1617C">
        <w:t xml:space="preserve"> in order to reduce credit risk by holding a proportion of the portfolio in</w:t>
      </w:r>
      <w:r w:rsidRPr="00F1617C">
        <w:t xml:space="preserve"> government and supranational </w:t>
      </w:r>
      <w:r w:rsidR="00AD15ED" w:rsidRPr="00F1617C">
        <w:t>securities,</w:t>
      </w:r>
      <w:r w:rsidR="00FA73F3" w:rsidRPr="00F1617C">
        <w:t xml:space="preserve"> </w:t>
      </w:r>
      <w:r w:rsidRPr="00F1617C">
        <w:t xml:space="preserve">which </w:t>
      </w:r>
      <w:r w:rsidR="00AD15ED" w:rsidRPr="00F1617C">
        <w:t>although</w:t>
      </w:r>
      <w:r w:rsidRPr="00F1617C">
        <w:t xml:space="preserve"> highly liquid</w:t>
      </w:r>
      <w:r w:rsidR="00AD15ED" w:rsidRPr="00F1617C">
        <w:t xml:space="preserve"> have m</w:t>
      </w:r>
      <w:r w:rsidRPr="00F1617C">
        <w:t>aturities</w:t>
      </w:r>
      <w:r w:rsidR="00AD15ED" w:rsidRPr="00F1617C">
        <w:t xml:space="preserve"> in excess of 364 days.</w:t>
      </w:r>
      <w:r w:rsidR="00FA73F3" w:rsidRPr="00F1617C">
        <w:t xml:space="preserve"> </w:t>
      </w:r>
      <w:r w:rsidR="00392C2F" w:rsidRPr="00F1617C">
        <w:t xml:space="preserve"> </w:t>
      </w:r>
      <w:r w:rsidR="00FA73F3" w:rsidRPr="00F1617C">
        <w:t>In practice they can be liquidated at one day's notice and are therefore central to achieving the</w:t>
      </w:r>
      <w:r w:rsidR="00C14F92" w:rsidRPr="00F1617C">
        <w:t xml:space="preserve"> County</w:t>
      </w:r>
      <w:r w:rsidR="00FA73F3" w:rsidRPr="00F1617C">
        <w:t xml:space="preserve"> Council's liquidity objective.</w:t>
      </w:r>
    </w:p>
    <w:p w:rsidR="00F95A4B" w:rsidRPr="001143BB" w:rsidRDefault="00F95A4B" w:rsidP="00574AC0">
      <w:pPr>
        <w:jc w:val="both"/>
        <w:rPr>
          <w:highlight w:val="yellow"/>
        </w:rPr>
      </w:pPr>
    </w:p>
    <w:p w:rsidR="00C14F92" w:rsidRPr="00A036BF" w:rsidRDefault="00C14F92" w:rsidP="00025990">
      <w:pPr>
        <w:jc w:val="both"/>
      </w:pPr>
      <w:r w:rsidRPr="00A036BF">
        <w:t>In recent times, a wider range of investment instruments within the area of sterling deposits has been developed by financial institutions. All of these afford similar security of capital to basic sterling deposits but they also offer the possibility, although never of course the certainty, of increased returns. The County Treasurer will, in liaison with the County Council’s external advisers, consider the benefits and drawbacks of these instruments and whether any of them are appropriate for the County Council. Because of their relative complexity compared to straightforward term deposits, most of them would fall within the definition of non-specified investments. Decisions on whether to utilise such instruments will be taken after an assessment of whether their use achieves the Council's objectives in terms of reduction in overall risk exposure as part of a balanced portfolio.</w:t>
      </w:r>
    </w:p>
    <w:p w:rsidR="00025990" w:rsidRPr="00A036BF" w:rsidRDefault="00025990" w:rsidP="00025990">
      <w:pPr>
        <w:jc w:val="both"/>
      </w:pPr>
    </w:p>
    <w:p w:rsidR="00DB40D8" w:rsidRDefault="0040630B" w:rsidP="00025990">
      <w:pPr>
        <w:spacing w:line="276" w:lineRule="auto"/>
        <w:rPr>
          <w:i/>
        </w:rPr>
      </w:pPr>
      <w:r w:rsidRPr="002A48EA">
        <w:rPr>
          <w:i/>
        </w:rPr>
        <w:t>Policy on Use of Financial Derivatives</w:t>
      </w:r>
    </w:p>
    <w:p w:rsidR="00B474FF" w:rsidRPr="002A48EA" w:rsidRDefault="00B474FF" w:rsidP="00025990">
      <w:pPr>
        <w:spacing w:line="276" w:lineRule="auto"/>
        <w:rPr>
          <w:i/>
        </w:rPr>
      </w:pPr>
    </w:p>
    <w:p w:rsidR="0040630B" w:rsidRPr="002A48EA" w:rsidRDefault="0040630B" w:rsidP="00025990">
      <w:pPr>
        <w:jc w:val="both"/>
      </w:pPr>
      <w:r w:rsidRPr="002A48EA">
        <w:t xml:space="preserve">Local authorities, </w:t>
      </w:r>
      <w:r w:rsidRPr="002A48EA">
        <w:rPr>
          <w:lang w:eastAsia="en-US"/>
        </w:rPr>
        <w:t xml:space="preserve">including </w:t>
      </w:r>
      <w:r w:rsidR="00C14F92" w:rsidRPr="002A48EA">
        <w:rPr>
          <w:lang w:eastAsia="en-US"/>
        </w:rPr>
        <w:t xml:space="preserve">the </w:t>
      </w:r>
      <w:r w:rsidRPr="002A48EA">
        <w:rPr>
          <w:lang w:eastAsia="en-US"/>
        </w:rPr>
        <w:t>County Council,</w:t>
      </w:r>
      <w:r w:rsidRPr="002A48EA">
        <w:t xml:space="preserve"> have previously made use of financial derivatives embedded into loans and investments both to reduce interest rate risk (e.g. interest rate collars and forward deals) and to reduce costs or increase income at the expense of greater risk (e.g. LOBO loans).</w:t>
      </w:r>
      <w:r w:rsidR="00C14F92" w:rsidRPr="002A48EA">
        <w:t xml:space="preserve"> However, previous legislation </w:t>
      </w:r>
      <w:r w:rsidR="00C17FA4" w:rsidRPr="002A48EA">
        <w:t xml:space="preserve">was understood to </w:t>
      </w:r>
      <w:r w:rsidR="00C14F92" w:rsidRPr="002A48EA">
        <w:t xml:space="preserve">prevent the use </w:t>
      </w:r>
      <w:r w:rsidR="00AF1F7A" w:rsidRPr="002A48EA">
        <w:t xml:space="preserve">of such tools </w:t>
      </w:r>
      <w:r w:rsidR="00C17FA4" w:rsidRPr="002A48EA">
        <w:t>where they were not embedded in other instruments</w:t>
      </w:r>
      <w:r w:rsidR="00AF1F7A" w:rsidRPr="002A48EA">
        <w:t>.</w:t>
      </w:r>
    </w:p>
    <w:p w:rsidR="0040630B" w:rsidRPr="002A48EA" w:rsidRDefault="0040630B" w:rsidP="00025990">
      <w:pPr>
        <w:jc w:val="both"/>
      </w:pPr>
    </w:p>
    <w:p w:rsidR="0040630B" w:rsidRPr="002A48EA" w:rsidRDefault="0040630B" w:rsidP="00025990">
      <w:pPr>
        <w:jc w:val="both"/>
      </w:pPr>
      <w:r w:rsidRPr="002A48EA">
        <w:t xml:space="preserve">The Localism </w:t>
      </w:r>
      <w:r w:rsidR="00D86086" w:rsidRPr="002A48EA">
        <w:t>Act</w:t>
      </w:r>
      <w:r w:rsidRPr="002A48EA">
        <w:t xml:space="preserve"> 2011 includes a general power </w:t>
      </w:r>
      <w:r w:rsidR="009D2AA9" w:rsidRPr="002A48EA">
        <w:t xml:space="preserve">of </w:t>
      </w:r>
      <w:r w:rsidRPr="002A48EA">
        <w:t xml:space="preserve">competence that removes the uncertain legal position over local authorities’ use of standalone financial derivatives (i.e. those that are not embedded into a loan or investment).  The latest CIPFA Code requires </w:t>
      </w:r>
      <w:r w:rsidR="00C17FA4" w:rsidRPr="002A48EA">
        <w:t xml:space="preserve">local </w:t>
      </w:r>
      <w:r w:rsidRPr="002A48EA">
        <w:t>authorities to clearly detail their policy on the use of derivatives in the</w:t>
      </w:r>
      <w:r w:rsidR="00D86086" w:rsidRPr="002A48EA">
        <w:t>ir</w:t>
      </w:r>
      <w:r w:rsidRPr="002A48EA">
        <w:t xml:space="preserve"> annual strategy.</w:t>
      </w:r>
    </w:p>
    <w:p w:rsidR="0040630B" w:rsidRPr="002A48EA" w:rsidRDefault="0040630B" w:rsidP="00025990">
      <w:pPr>
        <w:jc w:val="both"/>
      </w:pPr>
    </w:p>
    <w:p w:rsidR="00755F06" w:rsidRPr="002A48EA" w:rsidRDefault="0040630B" w:rsidP="00025990">
      <w:pPr>
        <w:jc w:val="both"/>
      </w:pPr>
      <w:r w:rsidRPr="002A48EA">
        <w:t xml:space="preserve">The </w:t>
      </w:r>
      <w:r w:rsidR="00D86086" w:rsidRPr="002A48EA">
        <w:t xml:space="preserve">County </w:t>
      </w:r>
      <w:r w:rsidRPr="002A48EA">
        <w:t>Council will only use financial derivatives (such as swaps, forwards, futures and options)</w:t>
      </w:r>
      <w:r w:rsidR="00AF1F7A" w:rsidRPr="002A48EA">
        <w:t xml:space="preserve"> either on a standalone, or embedded basis,</w:t>
      </w:r>
      <w:r w:rsidRPr="002A48EA">
        <w:t xml:space="preserve"> where </w:t>
      </w:r>
      <w:r w:rsidR="00AF1F7A" w:rsidRPr="002A48EA">
        <w:t xml:space="preserve">it </w:t>
      </w:r>
      <w:r w:rsidRPr="002A48EA">
        <w:t>can be clearly demonstrated</w:t>
      </w:r>
      <w:r w:rsidR="00755F06" w:rsidRPr="002A48EA">
        <w:t xml:space="preserve"> that as part of the prudent management of the Council's financial affairs the</w:t>
      </w:r>
      <w:r w:rsidR="00AF1F7A" w:rsidRPr="002A48EA">
        <w:t xml:space="preserve"> use of financial derivatives will</w:t>
      </w:r>
      <w:r w:rsidR="00755F06" w:rsidRPr="002A48EA">
        <w:t xml:space="preserve"> have</w:t>
      </w:r>
      <w:r w:rsidRPr="002A48EA">
        <w:t xml:space="preserve"> the</w:t>
      </w:r>
      <w:r w:rsidR="00755F06" w:rsidRPr="002A48EA">
        <w:t xml:space="preserve"> effect of reducing the </w:t>
      </w:r>
      <w:r w:rsidRPr="002A48EA">
        <w:t>level of financial risks that the Council is exposed to.  Additional risks presented, such as credit exposure to derivative counterparties, will be taken into account when determining the overall level of risk</w:t>
      </w:r>
      <w:r w:rsidR="00E9023E" w:rsidRPr="002A48EA">
        <w:t>.</w:t>
      </w:r>
      <w:r w:rsidR="00E9023E">
        <w:t xml:space="preserve"> This will be determined in liaison with the Council's external advisors.</w:t>
      </w:r>
      <w:r w:rsidR="00E9023E" w:rsidRPr="002A48EA">
        <w:t xml:space="preserve"> </w:t>
      </w:r>
    </w:p>
    <w:p w:rsidR="0040630B" w:rsidRPr="002A48EA" w:rsidRDefault="0040630B" w:rsidP="00025990">
      <w:pPr>
        <w:jc w:val="both"/>
      </w:pPr>
    </w:p>
    <w:p w:rsidR="0040630B" w:rsidRPr="002A48EA" w:rsidRDefault="0040630B" w:rsidP="00025990">
      <w:pPr>
        <w:jc w:val="both"/>
      </w:pPr>
      <w:r w:rsidRPr="002A48EA">
        <w:t>Financial derivative transactions may be arranged with any organisation that meets the approved investment criteria.  The current value of any amount due from a derivative counterparty will count against the counterparty credit limit and the relevant foreign country limit</w:t>
      </w:r>
      <w:r w:rsidR="00755F06" w:rsidRPr="002A48EA">
        <w:t xml:space="preserve"> if applicable</w:t>
      </w:r>
      <w:r w:rsidRPr="002A48EA">
        <w:t>.</w:t>
      </w:r>
    </w:p>
    <w:p w:rsidR="00A036BF" w:rsidRPr="002A48EA" w:rsidRDefault="00A036BF" w:rsidP="00025990">
      <w:pPr>
        <w:jc w:val="both"/>
      </w:pPr>
    </w:p>
    <w:p w:rsidR="00A036BF" w:rsidRPr="002A48EA" w:rsidRDefault="00A036BF" w:rsidP="00025990">
      <w:pPr>
        <w:jc w:val="both"/>
      </w:pPr>
      <w:r w:rsidRPr="002A48EA">
        <w:t>At all times the County Council will comply with C</w:t>
      </w:r>
      <w:r w:rsidR="00186E6A">
        <w:t>IPFA</w:t>
      </w:r>
      <w:r w:rsidRPr="002A48EA">
        <w:t xml:space="preserve"> advice and guidance on the use of financial derivatives and have regard to</w:t>
      </w:r>
      <w:r w:rsidR="002A48EA" w:rsidRPr="002A48EA">
        <w:t xml:space="preserve"> </w:t>
      </w:r>
      <w:r w:rsidRPr="002A48EA">
        <w:t>C</w:t>
      </w:r>
      <w:r w:rsidR="00186E6A">
        <w:t>IPFA</w:t>
      </w:r>
      <w:r w:rsidRPr="002A48EA">
        <w:t xml:space="preserve"> publication</w:t>
      </w:r>
      <w:r w:rsidR="002A48EA" w:rsidRPr="002A48EA">
        <w:t>s on risk management.</w:t>
      </w:r>
      <w:r w:rsidRPr="002A48EA">
        <w:t xml:space="preserve"> </w:t>
      </w:r>
    </w:p>
    <w:p w:rsidR="00217C4B" w:rsidRPr="001143BB" w:rsidRDefault="00217C4B" w:rsidP="00025990">
      <w:pPr>
        <w:rPr>
          <w:highlight w:val="yellow"/>
        </w:rPr>
      </w:pPr>
    </w:p>
    <w:p w:rsidR="00574AC0" w:rsidRPr="00A036BF" w:rsidRDefault="00574AC0" w:rsidP="00025990">
      <w:pPr>
        <w:rPr>
          <w:i/>
        </w:rPr>
      </w:pPr>
      <w:r w:rsidRPr="00A036BF">
        <w:rPr>
          <w:i/>
        </w:rPr>
        <w:t>Performance Measurement</w:t>
      </w:r>
    </w:p>
    <w:p w:rsidR="0040630B" w:rsidRPr="00A036BF" w:rsidRDefault="0040630B" w:rsidP="00025990">
      <w:pPr>
        <w:jc w:val="both"/>
      </w:pPr>
    </w:p>
    <w:p w:rsidR="0040630B" w:rsidRDefault="0040630B" w:rsidP="00025990">
      <w:pPr>
        <w:jc w:val="both"/>
      </w:pPr>
      <w:r w:rsidRPr="00A036BF">
        <w:t xml:space="preserve">With base rates at exceptionally low levels, investment returns are likely to continue to be far lower than has been the case in recent years. However, in the knowledge that a portion of cash invested (such as PFI reserves) will not be required in the short term and to protect against continued low investment rates, investments may be made for longer time periods, depending on cash flow considerations and the prevailing market conditions. </w:t>
      </w:r>
    </w:p>
    <w:p w:rsidR="00B474FF" w:rsidRPr="00A036BF" w:rsidRDefault="00B474FF" w:rsidP="00025990">
      <w:pPr>
        <w:jc w:val="both"/>
      </w:pPr>
    </w:p>
    <w:p w:rsidR="0040630B" w:rsidRPr="00A036BF" w:rsidRDefault="0040630B" w:rsidP="00025990">
      <w:pPr>
        <w:jc w:val="both"/>
      </w:pPr>
      <w:r w:rsidRPr="00A036BF">
        <w:t>The performance target on investments is a return above the average rate for 7 day notice money</w:t>
      </w:r>
      <w:r w:rsidR="006B61C7" w:rsidRPr="00A036BF">
        <w:t>.</w:t>
      </w:r>
    </w:p>
    <w:p w:rsidR="00025990" w:rsidRDefault="00025990" w:rsidP="005F7FAC">
      <w:pPr>
        <w:jc w:val="both"/>
        <w:rPr>
          <w:b/>
          <w:highlight w:val="yellow"/>
        </w:rPr>
      </w:pPr>
    </w:p>
    <w:p w:rsidR="00B474FF" w:rsidRPr="001143BB" w:rsidRDefault="00B474FF" w:rsidP="005F7FAC">
      <w:pPr>
        <w:jc w:val="both"/>
        <w:rPr>
          <w:b/>
          <w:highlight w:val="yellow"/>
        </w:rPr>
      </w:pPr>
    </w:p>
    <w:p w:rsidR="00A1775A" w:rsidRPr="007936C3" w:rsidRDefault="006B61C7" w:rsidP="005F7FAC">
      <w:pPr>
        <w:jc w:val="both"/>
        <w:rPr>
          <w:b/>
          <w:sz w:val="28"/>
          <w:szCs w:val="28"/>
        </w:rPr>
      </w:pPr>
      <w:r w:rsidRPr="007936C3">
        <w:rPr>
          <w:b/>
          <w:sz w:val="28"/>
          <w:szCs w:val="28"/>
        </w:rPr>
        <w:t xml:space="preserve">Impact on the County Council's </w:t>
      </w:r>
      <w:r w:rsidR="00F92044" w:rsidRPr="007936C3">
        <w:rPr>
          <w:b/>
          <w:sz w:val="28"/>
          <w:szCs w:val="28"/>
        </w:rPr>
        <w:t>Revenue Budget</w:t>
      </w:r>
      <w:r w:rsidR="00A1775A" w:rsidRPr="007936C3">
        <w:rPr>
          <w:b/>
          <w:sz w:val="28"/>
          <w:szCs w:val="28"/>
        </w:rPr>
        <w:t xml:space="preserve"> </w:t>
      </w:r>
    </w:p>
    <w:p w:rsidR="00F92044" w:rsidRPr="007936C3" w:rsidRDefault="00F92044" w:rsidP="005F7FAC">
      <w:pPr>
        <w:jc w:val="both"/>
      </w:pPr>
    </w:p>
    <w:p w:rsidR="00040C37" w:rsidRPr="007936C3" w:rsidRDefault="00F06120" w:rsidP="00040C37">
      <w:pPr>
        <w:jc w:val="both"/>
      </w:pPr>
      <w:r w:rsidRPr="007936C3">
        <w:t xml:space="preserve">The budget for financing charges which reflects the implementation of this strategy included within the </w:t>
      </w:r>
      <w:r w:rsidR="0094465F" w:rsidRPr="007936C3">
        <w:t>County Council</w:t>
      </w:r>
      <w:r w:rsidR="00E9023E">
        <w:t>'s budget</w:t>
      </w:r>
      <w:r w:rsidR="0094465F" w:rsidRPr="007936C3">
        <w:t xml:space="preserve"> </w:t>
      </w:r>
      <w:r w:rsidRPr="007936C3">
        <w:t>is as shown below:</w:t>
      </w:r>
    </w:p>
    <w:p w:rsidR="00040C37" w:rsidRPr="007936C3" w:rsidRDefault="00040C37" w:rsidP="00040C37">
      <w:pPr>
        <w:pStyle w:val="ListParagraph"/>
        <w:ind w:left="0"/>
      </w:pPr>
    </w:p>
    <w:tbl>
      <w:tblPr>
        <w:tblStyle w:val="TableGrid"/>
        <w:tblW w:w="0" w:type="auto"/>
        <w:tblLayout w:type="fixed"/>
        <w:tblLook w:val="04A0" w:firstRow="1" w:lastRow="0" w:firstColumn="1" w:lastColumn="0" w:noHBand="0" w:noVBand="1"/>
      </w:tblPr>
      <w:tblGrid>
        <w:gridCol w:w="2518"/>
        <w:gridCol w:w="1843"/>
        <w:gridCol w:w="1701"/>
        <w:gridCol w:w="1559"/>
      </w:tblGrid>
      <w:tr w:rsidR="00D0762E" w:rsidRPr="007936C3" w:rsidTr="00392C2F">
        <w:tc>
          <w:tcPr>
            <w:tcW w:w="2518" w:type="dxa"/>
          </w:tcPr>
          <w:p w:rsidR="00D0762E" w:rsidRPr="007936C3" w:rsidRDefault="00D0762E" w:rsidP="00AE3AF3">
            <w:pPr>
              <w:pStyle w:val="ListParagraph"/>
              <w:ind w:left="0"/>
              <w:rPr>
                <w:b/>
              </w:rPr>
            </w:pPr>
          </w:p>
        </w:tc>
        <w:tc>
          <w:tcPr>
            <w:tcW w:w="1843" w:type="dxa"/>
          </w:tcPr>
          <w:p w:rsidR="00D0762E" w:rsidRPr="007936C3" w:rsidRDefault="00F06120" w:rsidP="00AE3AF3">
            <w:pPr>
              <w:pStyle w:val="ListParagraph"/>
              <w:ind w:left="0"/>
              <w:jc w:val="center"/>
              <w:rPr>
                <w:b/>
              </w:rPr>
            </w:pPr>
            <w:r w:rsidRPr="007936C3">
              <w:rPr>
                <w:b/>
              </w:rPr>
              <w:t>Revenue Budget 201</w:t>
            </w:r>
            <w:r w:rsidR="007B67A6" w:rsidRPr="007936C3">
              <w:rPr>
                <w:b/>
              </w:rPr>
              <w:t>3</w:t>
            </w:r>
            <w:r w:rsidRPr="007936C3">
              <w:rPr>
                <w:b/>
              </w:rPr>
              <w:t>/1</w:t>
            </w:r>
            <w:r w:rsidR="007B67A6" w:rsidRPr="007936C3">
              <w:rPr>
                <w:b/>
              </w:rPr>
              <w:t>4</w:t>
            </w:r>
          </w:p>
          <w:p w:rsidR="00D0762E" w:rsidRPr="007936C3" w:rsidRDefault="00D0762E" w:rsidP="00AE3AF3">
            <w:pPr>
              <w:pStyle w:val="ListParagraph"/>
              <w:ind w:left="0"/>
              <w:jc w:val="center"/>
              <w:rPr>
                <w:b/>
              </w:rPr>
            </w:pPr>
          </w:p>
          <w:p w:rsidR="00D0762E" w:rsidRPr="007936C3" w:rsidRDefault="00F06120" w:rsidP="00AE3AF3">
            <w:pPr>
              <w:pStyle w:val="ListParagraph"/>
              <w:ind w:left="0"/>
              <w:jc w:val="center"/>
              <w:rPr>
                <w:b/>
              </w:rPr>
            </w:pPr>
            <w:r w:rsidRPr="007936C3">
              <w:rPr>
                <w:b/>
              </w:rPr>
              <w:t>£m</w:t>
            </w:r>
          </w:p>
        </w:tc>
        <w:tc>
          <w:tcPr>
            <w:tcW w:w="1701" w:type="dxa"/>
          </w:tcPr>
          <w:p w:rsidR="00D0762E" w:rsidRPr="007936C3" w:rsidRDefault="00F06120" w:rsidP="00AE3AF3">
            <w:pPr>
              <w:pStyle w:val="ListParagraph"/>
              <w:ind w:left="0"/>
              <w:jc w:val="center"/>
              <w:rPr>
                <w:b/>
              </w:rPr>
            </w:pPr>
            <w:r w:rsidRPr="007936C3">
              <w:rPr>
                <w:b/>
              </w:rPr>
              <w:t xml:space="preserve">Revenue Budget </w:t>
            </w:r>
            <w:r w:rsidR="007B67A6" w:rsidRPr="007936C3">
              <w:rPr>
                <w:b/>
              </w:rPr>
              <w:t>2014</w:t>
            </w:r>
            <w:r w:rsidRPr="007936C3">
              <w:rPr>
                <w:b/>
              </w:rPr>
              <w:t>1</w:t>
            </w:r>
            <w:r w:rsidR="007B67A6" w:rsidRPr="007936C3">
              <w:rPr>
                <w:b/>
              </w:rPr>
              <w:t>5</w:t>
            </w:r>
          </w:p>
          <w:p w:rsidR="00F92044" w:rsidRPr="007936C3" w:rsidRDefault="00F92044" w:rsidP="00AE3AF3">
            <w:pPr>
              <w:pStyle w:val="ListParagraph"/>
              <w:ind w:left="0"/>
              <w:jc w:val="center"/>
              <w:rPr>
                <w:b/>
              </w:rPr>
            </w:pPr>
          </w:p>
          <w:p w:rsidR="00F92044" w:rsidRPr="007936C3" w:rsidRDefault="00F06120" w:rsidP="00AE3AF3">
            <w:pPr>
              <w:pStyle w:val="ListParagraph"/>
              <w:ind w:left="0"/>
              <w:jc w:val="center"/>
              <w:rPr>
                <w:b/>
              </w:rPr>
            </w:pPr>
            <w:r w:rsidRPr="007936C3">
              <w:rPr>
                <w:b/>
              </w:rPr>
              <w:t>£m</w:t>
            </w:r>
          </w:p>
        </w:tc>
        <w:tc>
          <w:tcPr>
            <w:tcW w:w="1559" w:type="dxa"/>
          </w:tcPr>
          <w:p w:rsidR="00D0762E" w:rsidRPr="007936C3" w:rsidRDefault="00F06120" w:rsidP="00AE3AF3">
            <w:pPr>
              <w:pStyle w:val="ListParagraph"/>
              <w:ind w:left="0"/>
              <w:jc w:val="center"/>
              <w:rPr>
                <w:b/>
              </w:rPr>
            </w:pPr>
            <w:r w:rsidRPr="007936C3">
              <w:rPr>
                <w:b/>
              </w:rPr>
              <w:t xml:space="preserve">Revenue Budget </w:t>
            </w:r>
          </w:p>
          <w:p w:rsidR="00D0762E" w:rsidRPr="007936C3" w:rsidRDefault="00F06120" w:rsidP="00AE3AF3">
            <w:pPr>
              <w:pStyle w:val="ListParagraph"/>
              <w:ind w:left="0"/>
              <w:jc w:val="center"/>
              <w:rPr>
                <w:b/>
              </w:rPr>
            </w:pPr>
            <w:r w:rsidRPr="007936C3">
              <w:rPr>
                <w:b/>
              </w:rPr>
              <w:t>201</w:t>
            </w:r>
            <w:r w:rsidR="007B67A6" w:rsidRPr="007936C3">
              <w:rPr>
                <w:b/>
              </w:rPr>
              <w:t>5</w:t>
            </w:r>
            <w:r w:rsidRPr="007936C3">
              <w:rPr>
                <w:b/>
              </w:rPr>
              <w:t>/1</w:t>
            </w:r>
            <w:r w:rsidR="007B67A6" w:rsidRPr="007936C3">
              <w:rPr>
                <w:b/>
              </w:rPr>
              <w:t>6</w:t>
            </w:r>
          </w:p>
          <w:p w:rsidR="00D0762E" w:rsidRPr="007936C3" w:rsidRDefault="00D0762E" w:rsidP="00AE3AF3">
            <w:pPr>
              <w:pStyle w:val="ListParagraph"/>
              <w:ind w:left="0"/>
              <w:jc w:val="center"/>
              <w:rPr>
                <w:b/>
              </w:rPr>
            </w:pPr>
          </w:p>
          <w:p w:rsidR="00D0762E" w:rsidRPr="007936C3" w:rsidRDefault="00F06120" w:rsidP="00AE3AF3">
            <w:pPr>
              <w:pStyle w:val="ListParagraph"/>
              <w:ind w:left="0"/>
              <w:jc w:val="center"/>
              <w:rPr>
                <w:b/>
              </w:rPr>
            </w:pPr>
            <w:r w:rsidRPr="007936C3">
              <w:rPr>
                <w:b/>
              </w:rPr>
              <w:t>£m</w:t>
            </w:r>
          </w:p>
        </w:tc>
      </w:tr>
      <w:tr w:rsidR="00D0762E" w:rsidRPr="007936C3" w:rsidTr="00392C2F">
        <w:tc>
          <w:tcPr>
            <w:tcW w:w="2518" w:type="dxa"/>
          </w:tcPr>
          <w:p w:rsidR="00D0762E" w:rsidRPr="007936C3" w:rsidRDefault="00F06120" w:rsidP="00AE3AF3">
            <w:pPr>
              <w:pStyle w:val="ListParagraph"/>
              <w:ind w:left="0"/>
            </w:pPr>
            <w:r w:rsidRPr="007936C3">
              <w:t>Minimum Revenue Provision</w:t>
            </w:r>
            <w:r w:rsidR="00A21E6C">
              <w:t xml:space="preserve"> (MRP)</w:t>
            </w:r>
          </w:p>
        </w:tc>
        <w:tc>
          <w:tcPr>
            <w:tcW w:w="1843" w:type="dxa"/>
            <w:vAlign w:val="bottom"/>
          </w:tcPr>
          <w:p w:rsidR="004A19C1" w:rsidRPr="007936C3" w:rsidRDefault="007936C3" w:rsidP="004A19C1">
            <w:pPr>
              <w:pStyle w:val="ListParagraph"/>
              <w:ind w:left="175"/>
              <w:jc w:val="right"/>
            </w:pPr>
            <w:r w:rsidRPr="007936C3">
              <w:t>30.100</w:t>
            </w:r>
          </w:p>
        </w:tc>
        <w:tc>
          <w:tcPr>
            <w:tcW w:w="1701" w:type="dxa"/>
            <w:vAlign w:val="bottom"/>
          </w:tcPr>
          <w:p w:rsidR="004A19C1" w:rsidRPr="007936C3" w:rsidRDefault="007936C3" w:rsidP="004A19C1">
            <w:pPr>
              <w:pStyle w:val="ListParagraph"/>
              <w:ind w:left="273"/>
              <w:jc w:val="right"/>
            </w:pPr>
            <w:r w:rsidRPr="007936C3">
              <w:t>28.527</w:t>
            </w:r>
          </w:p>
        </w:tc>
        <w:tc>
          <w:tcPr>
            <w:tcW w:w="1559" w:type="dxa"/>
            <w:vAlign w:val="bottom"/>
          </w:tcPr>
          <w:p w:rsidR="004A19C1" w:rsidRPr="007936C3" w:rsidRDefault="007936C3" w:rsidP="004A19C1">
            <w:pPr>
              <w:pStyle w:val="ListParagraph"/>
              <w:ind w:left="318"/>
              <w:jc w:val="right"/>
            </w:pPr>
            <w:r w:rsidRPr="007936C3">
              <w:t>26.661</w:t>
            </w:r>
          </w:p>
        </w:tc>
      </w:tr>
      <w:tr w:rsidR="00D0762E" w:rsidRPr="007936C3" w:rsidTr="00392C2F">
        <w:tc>
          <w:tcPr>
            <w:tcW w:w="2518" w:type="dxa"/>
          </w:tcPr>
          <w:p w:rsidR="00D0762E" w:rsidRPr="007936C3" w:rsidRDefault="00D0762E" w:rsidP="00AE3AF3">
            <w:pPr>
              <w:pStyle w:val="ListParagraph"/>
              <w:ind w:left="0"/>
            </w:pPr>
          </w:p>
        </w:tc>
        <w:tc>
          <w:tcPr>
            <w:tcW w:w="1843" w:type="dxa"/>
          </w:tcPr>
          <w:p w:rsidR="004A19C1" w:rsidRPr="007936C3" w:rsidRDefault="004A19C1" w:rsidP="004A19C1">
            <w:pPr>
              <w:pStyle w:val="ListParagraph"/>
              <w:ind w:left="175"/>
              <w:jc w:val="right"/>
            </w:pPr>
          </w:p>
        </w:tc>
        <w:tc>
          <w:tcPr>
            <w:tcW w:w="1701" w:type="dxa"/>
          </w:tcPr>
          <w:p w:rsidR="004A19C1" w:rsidRPr="007936C3" w:rsidRDefault="004A19C1" w:rsidP="004A19C1">
            <w:pPr>
              <w:pStyle w:val="ListParagraph"/>
              <w:ind w:left="273"/>
              <w:jc w:val="right"/>
            </w:pPr>
          </w:p>
        </w:tc>
        <w:tc>
          <w:tcPr>
            <w:tcW w:w="1559" w:type="dxa"/>
          </w:tcPr>
          <w:p w:rsidR="004A19C1" w:rsidRPr="007936C3" w:rsidRDefault="004A19C1" w:rsidP="004A19C1">
            <w:pPr>
              <w:pStyle w:val="ListParagraph"/>
              <w:ind w:left="318"/>
              <w:jc w:val="right"/>
            </w:pPr>
          </w:p>
        </w:tc>
      </w:tr>
      <w:tr w:rsidR="00D0762E" w:rsidRPr="007936C3" w:rsidTr="00392C2F">
        <w:tc>
          <w:tcPr>
            <w:tcW w:w="2518" w:type="dxa"/>
          </w:tcPr>
          <w:p w:rsidR="00D0762E" w:rsidRPr="007936C3" w:rsidRDefault="00F06120" w:rsidP="00AE3AF3">
            <w:pPr>
              <w:pStyle w:val="ListParagraph"/>
              <w:ind w:left="0"/>
            </w:pPr>
            <w:r w:rsidRPr="007936C3">
              <w:t>Interest Paid</w:t>
            </w:r>
          </w:p>
        </w:tc>
        <w:tc>
          <w:tcPr>
            <w:tcW w:w="1843" w:type="dxa"/>
          </w:tcPr>
          <w:p w:rsidR="004A19C1" w:rsidRPr="007936C3" w:rsidRDefault="007936C3" w:rsidP="004A19C1">
            <w:pPr>
              <w:pStyle w:val="ListParagraph"/>
              <w:ind w:left="175"/>
              <w:jc w:val="right"/>
            </w:pPr>
            <w:r w:rsidRPr="007936C3">
              <w:t>21.157</w:t>
            </w:r>
          </w:p>
        </w:tc>
        <w:tc>
          <w:tcPr>
            <w:tcW w:w="1701" w:type="dxa"/>
          </w:tcPr>
          <w:p w:rsidR="004A19C1" w:rsidRPr="007936C3" w:rsidRDefault="007936C3" w:rsidP="004A19C1">
            <w:pPr>
              <w:pStyle w:val="ListParagraph"/>
              <w:ind w:left="273"/>
              <w:jc w:val="right"/>
            </w:pPr>
            <w:r w:rsidRPr="007936C3">
              <w:t>22.005</w:t>
            </w:r>
          </w:p>
        </w:tc>
        <w:tc>
          <w:tcPr>
            <w:tcW w:w="1559" w:type="dxa"/>
          </w:tcPr>
          <w:p w:rsidR="004A19C1" w:rsidRPr="007936C3" w:rsidRDefault="007936C3" w:rsidP="004A19C1">
            <w:pPr>
              <w:pStyle w:val="ListParagraph"/>
              <w:ind w:left="318"/>
              <w:jc w:val="right"/>
            </w:pPr>
            <w:r w:rsidRPr="007936C3">
              <w:t>21.794</w:t>
            </w:r>
          </w:p>
        </w:tc>
      </w:tr>
      <w:tr w:rsidR="00D0762E" w:rsidRPr="007936C3" w:rsidTr="00392C2F">
        <w:tc>
          <w:tcPr>
            <w:tcW w:w="2518" w:type="dxa"/>
          </w:tcPr>
          <w:p w:rsidR="00D0762E" w:rsidRPr="007936C3" w:rsidRDefault="00D0762E" w:rsidP="00AE3AF3">
            <w:pPr>
              <w:pStyle w:val="ListParagraph"/>
              <w:ind w:left="0"/>
            </w:pPr>
          </w:p>
        </w:tc>
        <w:tc>
          <w:tcPr>
            <w:tcW w:w="1843" w:type="dxa"/>
          </w:tcPr>
          <w:p w:rsidR="004A19C1" w:rsidRPr="007936C3" w:rsidRDefault="004A19C1" w:rsidP="004A19C1">
            <w:pPr>
              <w:pStyle w:val="ListParagraph"/>
              <w:ind w:left="175"/>
              <w:jc w:val="right"/>
            </w:pPr>
          </w:p>
        </w:tc>
        <w:tc>
          <w:tcPr>
            <w:tcW w:w="1701" w:type="dxa"/>
          </w:tcPr>
          <w:p w:rsidR="004A19C1" w:rsidRPr="007936C3" w:rsidRDefault="004A19C1" w:rsidP="004A19C1">
            <w:pPr>
              <w:pStyle w:val="ListParagraph"/>
              <w:ind w:left="273"/>
              <w:jc w:val="right"/>
            </w:pPr>
          </w:p>
        </w:tc>
        <w:tc>
          <w:tcPr>
            <w:tcW w:w="1559" w:type="dxa"/>
          </w:tcPr>
          <w:p w:rsidR="004A19C1" w:rsidRPr="007936C3" w:rsidRDefault="004A19C1" w:rsidP="004A19C1">
            <w:pPr>
              <w:pStyle w:val="ListParagraph"/>
              <w:ind w:left="318"/>
              <w:jc w:val="right"/>
            </w:pPr>
          </w:p>
        </w:tc>
      </w:tr>
      <w:tr w:rsidR="00D0762E" w:rsidRPr="007936C3" w:rsidTr="00392C2F">
        <w:tc>
          <w:tcPr>
            <w:tcW w:w="2518" w:type="dxa"/>
          </w:tcPr>
          <w:p w:rsidR="00D0762E" w:rsidRPr="007936C3" w:rsidRDefault="00F06120" w:rsidP="00AE3AF3">
            <w:pPr>
              <w:pStyle w:val="ListParagraph"/>
              <w:ind w:left="0"/>
            </w:pPr>
            <w:r w:rsidRPr="007936C3">
              <w:t>Interest Earned</w:t>
            </w:r>
          </w:p>
        </w:tc>
        <w:tc>
          <w:tcPr>
            <w:tcW w:w="1843" w:type="dxa"/>
          </w:tcPr>
          <w:p w:rsidR="004A19C1" w:rsidRPr="007936C3" w:rsidRDefault="00F06120" w:rsidP="007936C3">
            <w:pPr>
              <w:pStyle w:val="ListParagraph"/>
              <w:ind w:left="175"/>
              <w:jc w:val="right"/>
            </w:pPr>
            <w:r w:rsidRPr="007936C3">
              <w:t>(</w:t>
            </w:r>
            <w:r w:rsidR="007936C3" w:rsidRPr="007936C3">
              <w:t>18.635</w:t>
            </w:r>
            <w:r w:rsidRPr="007936C3">
              <w:t>)</w:t>
            </w:r>
          </w:p>
        </w:tc>
        <w:tc>
          <w:tcPr>
            <w:tcW w:w="1701" w:type="dxa"/>
          </w:tcPr>
          <w:p w:rsidR="004A19C1" w:rsidRPr="007936C3" w:rsidRDefault="00F06120" w:rsidP="007936C3">
            <w:pPr>
              <w:pStyle w:val="ListParagraph"/>
              <w:ind w:left="273"/>
              <w:jc w:val="right"/>
            </w:pPr>
            <w:r w:rsidRPr="007936C3">
              <w:t>(</w:t>
            </w:r>
            <w:r w:rsidR="007936C3" w:rsidRPr="007936C3">
              <w:t>19.425</w:t>
            </w:r>
            <w:r w:rsidRPr="007936C3">
              <w:t>)</w:t>
            </w:r>
          </w:p>
        </w:tc>
        <w:tc>
          <w:tcPr>
            <w:tcW w:w="1559" w:type="dxa"/>
          </w:tcPr>
          <w:p w:rsidR="004A19C1" w:rsidRPr="007936C3" w:rsidRDefault="00F06120" w:rsidP="007936C3">
            <w:pPr>
              <w:pStyle w:val="ListParagraph"/>
              <w:ind w:left="318"/>
              <w:jc w:val="right"/>
            </w:pPr>
            <w:r w:rsidRPr="007936C3">
              <w:t>(</w:t>
            </w:r>
            <w:r w:rsidR="007936C3" w:rsidRPr="007936C3">
              <w:t>19.728</w:t>
            </w:r>
            <w:r w:rsidRPr="007936C3">
              <w:t>)</w:t>
            </w:r>
          </w:p>
        </w:tc>
      </w:tr>
      <w:tr w:rsidR="00D0762E" w:rsidRPr="007936C3" w:rsidTr="00392C2F">
        <w:tc>
          <w:tcPr>
            <w:tcW w:w="2518" w:type="dxa"/>
          </w:tcPr>
          <w:p w:rsidR="00D0762E" w:rsidRPr="007936C3" w:rsidRDefault="00D0762E" w:rsidP="00AE3AF3">
            <w:pPr>
              <w:pStyle w:val="ListParagraph"/>
              <w:ind w:left="0"/>
            </w:pPr>
          </w:p>
        </w:tc>
        <w:tc>
          <w:tcPr>
            <w:tcW w:w="1843" w:type="dxa"/>
          </w:tcPr>
          <w:p w:rsidR="004A19C1" w:rsidRPr="007936C3" w:rsidRDefault="004A19C1" w:rsidP="004A19C1">
            <w:pPr>
              <w:pStyle w:val="ListParagraph"/>
              <w:ind w:left="175"/>
              <w:jc w:val="right"/>
            </w:pPr>
          </w:p>
        </w:tc>
        <w:tc>
          <w:tcPr>
            <w:tcW w:w="1701" w:type="dxa"/>
          </w:tcPr>
          <w:p w:rsidR="004A19C1" w:rsidRPr="007936C3" w:rsidRDefault="004A19C1" w:rsidP="004A19C1">
            <w:pPr>
              <w:pStyle w:val="ListParagraph"/>
              <w:ind w:left="273"/>
              <w:jc w:val="right"/>
            </w:pPr>
          </w:p>
        </w:tc>
        <w:tc>
          <w:tcPr>
            <w:tcW w:w="1559" w:type="dxa"/>
          </w:tcPr>
          <w:p w:rsidR="004A19C1" w:rsidRPr="007936C3" w:rsidRDefault="004A19C1" w:rsidP="004A19C1">
            <w:pPr>
              <w:pStyle w:val="ListParagraph"/>
              <w:ind w:left="318"/>
              <w:jc w:val="right"/>
            </w:pPr>
          </w:p>
        </w:tc>
      </w:tr>
      <w:tr w:rsidR="00D0762E" w:rsidRPr="007936C3" w:rsidTr="00392C2F">
        <w:tc>
          <w:tcPr>
            <w:tcW w:w="2518" w:type="dxa"/>
          </w:tcPr>
          <w:p w:rsidR="00D0762E" w:rsidRPr="007936C3" w:rsidRDefault="00F06120" w:rsidP="00AE3AF3">
            <w:pPr>
              <w:pStyle w:val="ListParagraph"/>
              <w:ind w:left="0"/>
            </w:pPr>
            <w:r w:rsidRPr="007936C3">
              <w:t>Grants Received</w:t>
            </w:r>
          </w:p>
        </w:tc>
        <w:tc>
          <w:tcPr>
            <w:tcW w:w="1843" w:type="dxa"/>
          </w:tcPr>
          <w:p w:rsidR="004A19C1" w:rsidRPr="007936C3" w:rsidRDefault="00F06120" w:rsidP="007936C3">
            <w:pPr>
              <w:pStyle w:val="ListParagraph"/>
              <w:ind w:left="175"/>
              <w:jc w:val="right"/>
            </w:pPr>
            <w:r w:rsidRPr="007936C3">
              <w:t>(0.</w:t>
            </w:r>
            <w:r w:rsidR="007936C3" w:rsidRPr="007936C3">
              <w:t>273</w:t>
            </w:r>
            <w:r w:rsidRPr="007936C3">
              <w:t>)</w:t>
            </w:r>
          </w:p>
        </w:tc>
        <w:tc>
          <w:tcPr>
            <w:tcW w:w="1701" w:type="dxa"/>
          </w:tcPr>
          <w:p w:rsidR="004A19C1" w:rsidRPr="007936C3" w:rsidRDefault="00F06120" w:rsidP="007936C3">
            <w:pPr>
              <w:pStyle w:val="ListParagraph"/>
              <w:ind w:left="273"/>
              <w:jc w:val="right"/>
              <w:rPr>
                <w:sz w:val="22"/>
              </w:rPr>
            </w:pPr>
            <w:r w:rsidRPr="007936C3">
              <w:t>(0.</w:t>
            </w:r>
            <w:r w:rsidR="007936C3" w:rsidRPr="007936C3">
              <w:t>273</w:t>
            </w:r>
            <w:r w:rsidRPr="007936C3">
              <w:t>)</w:t>
            </w:r>
          </w:p>
        </w:tc>
        <w:tc>
          <w:tcPr>
            <w:tcW w:w="1559" w:type="dxa"/>
          </w:tcPr>
          <w:p w:rsidR="004A19C1" w:rsidRPr="007936C3" w:rsidRDefault="00F06120" w:rsidP="007936C3">
            <w:pPr>
              <w:pStyle w:val="ListParagraph"/>
              <w:ind w:left="318"/>
              <w:jc w:val="right"/>
              <w:rPr>
                <w:sz w:val="22"/>
              </w:rPr>
            </w:pPr>
            <w:r w:rsidRPr="007936C3">
              <w:t>(0.</w:t>
            </w:r>
            <w:r w:rsidR="007936C3" w:rsidRPr="007936C3">
              <w:t>273</w:t>
            </w:r>
            <w:r w:rsidRPr="007936C3">
              <w:t>)</w:t>
            </w:r>
          </w:p>
        </w:tc>
      </w:tr>
      <w:tr w:rsidR="00D0762E" w:rsidRPr="007936C3" w:rsidTr="00392C2F">
        <w:tc>
          <w:tcPr>
            <w:tcW w:w="2518" w:type="dxa"/>
          </w:tcPr>
          <w:p w:rsidR="00D0762E" w:rsidRPr="007936C3" w:rsidRDefault="00D0762E" w:rsidP="00AE3AF3">
            <w:pPr>
              <w:pStyle w:val="ListParagraph"/>
              <w:ind w:left="0"/>
              <w:rPr>
                <w:b/>
              </w:rPr>
            </w:pPr>
          </w:p>
        </w:tc>
        <w:tc>
          <w:tcPr>
            <w:tcW w:w="1843" w:type="dxa"/>
          </w:tcPr>
          <w:p w:rsidR="004A19C1" w:rsidRPr="007936C3" w:rsidRDefault="004A19C1" w:rsidP="004A19C1">
            <w:pPr>
              <w:pStyle w:val="ListParagraph"/>
              <w:ind w:left="175"/>
              <w:jc w:val="right"/>
              <w:rPr>
                <w:b/>
              </w:rPr>
            </w:pPr>
          </w:p>
        </w:tc>
        <w:tc>
          <w:tcPr>
            <w:tcW w:w="1701" w:type="dxa"/>
          </w:tcPr>
          <w:p w:rsidR="004A19C1" w:rsidRPr="007936C3" w:rsidRDefault="004A19C1" w:rsidP="004A19C1">
            <w:pPr>
              <w:pStyle w:val="ListParagraph"/>
              <w:ind w:left="273"/>
              <w:jc w:val="right"/>
              <w:rPr>
                <w:b/>
              </w:rPr>
            </w:pPr>
          </w:p>
        </w:tc>
        <w:tc>
          <w:tcPr>
            <w:tcW w:w="1559" w:type="dxa"/>
          </w:tcPr>
          <w:p w:rsidR="004A19C1" w:rsidRPr="007936C3" w:rsidRDefault="004A19C1" w:rsidP="004A19C1">
            <w:pPr>
              <w:pStyle w:val="ListParagraph"/>
              <w:ind w:left="318"/>
              <w:jc w:val="right"/>
              <w:rPr>
                <w:b/>
              </w:rPr>
            </w:pPr>
          </w:p>
        </w:tc>
      </w:tr>
      <w:tr w:rsidR="00D0762E" w:rsidRPr="007936C3" w:rsidTr="00392C2F">
        <w:tc>
          <w:tcPr>
            <w:tcW w:w="2518" w:type="dxa"/>
          </w:tcPr>
          <w:p w:rsidR="00D0762E" w:rsidRPr="007936C3" w:rsidRDefault="00F06120" w:rsidP="00AE3AF3">
            <w:pPr>
              <w:pStyle w:val="ListParagraph"/>
              <w:ind w:left="0"/>
              <w:rPr>
                <w:b/>
              </w:rPr>
            </w:pPr>
            <w:r w:rsidRPr="007936C3">
              <w:rPr>
                <w:b/>
              </w:rPr>
              <w:t>Total</w:t>
            </w:r>
          </w:p>
        </w:tc>
        <w:tc>
          <w:tcPr>
            <w:tcW w:w="1843" w:type="dxa"/>
          </w:tcPr>
          <w:p w:rsidR="004A19C1" w:rsidRPr="007936C3" w:rsidRDefault="007936C3" w:rsidP="004A19C1">
            <w:pPr>
              <w:pStyle w:val="ListParagraph"/>
              <w:ind w:left="175"/>
              <w:jc w:val="right"/>
              <w:rPr>
                <w:b/>
              </w:rPr>
            </w:pPr>
            <w:r w:rsidRPr="007936C3">
              <w:rPr>
                <w:b/>
              </w:rPr>
              <w:t>32.349</w:t>
            </w:r>
          </w:p>
        </w:tc>
        <w:tc>
          <w:tcPr>
            <w:tcW w:w="1701" w:type="dxa"/>
          </w:tcPr>
          <w:p w:rsidR="004A19C1" w:rsidRPr="007936C3" w:rsidRDefault="007936C3" w:rsidP="008E41F9">
            <w:pPr>
              <w:pStyle w:val="ListParagraph"/>
              <w:ind w:left="273"/>
              <w:jc w:val="right"/>
              <w:rPr>
                <w:b/>
              </w:rPr>
            </w:pPr>
            <w:r w:rsidRPr="007936C3">
              <w:rPr>
                <w:b/>
              </w:rPr>
              <w:t>30.834</w:t>
            </w:r>
          </w:p>
        </w:tc>
        <w:tc>
          <w:tcPr>
            <w:tcW w:w="1559" w:type="dxa"/>
          </w:tcPr>
          <w:p w:rsidR="004A19C1" w:rsidRPr="007936C3" w:rsidRDefault="007936C3" w:rsidP="004A19C1">
            <w:pPr>
              <w:pStyle w:val="ListParagraph"/>
              <w:ind w:left="318"/>
              <w:jc w:val="right"/>
              <w:rPr>
                <w:b/>
              </w:rPr>
            </w:pPr>
            <w:r w:rsidRPr="007936C3">
              <w:rPr>
                <w:b/>
              </w:rPr>
              <w:t>30.454</w:t>
            </w:r>
          </w:p>
        </w:tc>
      </w:tr>
    </w:tbl>
    <w:p w:rsidR="00040C37" w:rsidRPr="007936C3" w:rsidRDefault="00040C37" w:rsidP="00040C37">
      <w:pPr>
        <w:pStyle w:val="ListParagraph"/>
        <w:ind w:left="0"/>
      </w:pPr>
    </w:p>
    <w:p w:rsidR="007936C3" w:rsidRPr="00A21E6C" w:rsidRDefault="00A21E6C" w:rsidP="005F7FAC">
      <w:pPr>
        <w:jc w:val="both"/>
      </w:pPr>
      <w:r w:rsidRPr="00A21E6C">
        <w:t>The budgeted MRP for PFI schemes, included in the capital financing requirement calculation, is included for within the relevant service directorate budget rather than the financing charges budget.</w:t>
      </w:r>
    </w:p>
    <w:p w:rsidR="007936C3" w:rsidRDefault="007936C3" w:rsidP="005F7FAC">
      <w:pPr>
        <w:jc w:val="both"/>
        <w:rPr>
          <w:highlight w:val="yellow"/>
        </w:rPr>
      </w:pPr>
    </w:p>
    <w:p w:rsidR="00D0762E" w:rsidRPr="007936C3" w:rsidRDefault="00F06120" w:rsidP="005F7FAC">
      <w:pPr>
        <w:jc w:val="both"/>
      </w:pPr>
      <w:r w:rsidRPr="007936C3">
        <w:t>These budgets reflect the following average interest rates:</w:t>
      </w:r>
    </w:p>
    <w:p w:rsidR="00D0762E" w:rsidRPr="007936C3" w:rsidRDefault="00D0762E" w:rsidP="005F7FAC">
      <w:pPr>
        <w:jc w:val="both"/>
      </w:pPr>
    </w:p>
    <w:tbl>
      <w:tblPr>
        <w:tblStyle w:val="TableGrid"/>
        <w:tblW w:w="0" w:type="auto"/>
        <w:tblLook w:val="04A0" w:firstRow="1" w:lastRow="0" w:firstColumn="1" w:lastColumn="0" w:noHBand="0" w:noVBand="1"/>
      </w:tblPr>
      <w:tblGrid>
        <w:gridCol w:w="2310"/>
        <w:gridCol w:w="2310"/>
        <w:gridCol w:w="2311"/>
        <w:gridCol w:w="2311"/>
      </w:tblGrid>
      <w:tr w:rsidR="00D0762E" w:rsidRPr="007936C3" w:rsidTr="00D0762E">
        <w:tc>
          <w:tcPr>
            <w:tcW w:w="2310" w:type="dxa"/>
          </w:tcPr>
          <w:p w:rsidR="00D0762E" w:rsidRPr="007936C3" w:rsidRDefault="00D0762E" w:rsidP="005F7FAC">
            <w:pPr>
              <w:jc w:val="both"/>
            </w:pPr>
          </w:p>
        </w:tc>
        <w:tc>
          <w:tcPr>
            <w:tcW w:w="2310" w:type="dxa"/>
          </w:tcPr>
          <w:p w:rsidR="004A19C1" w:rsidRPr="007936C3" w:rsidRDefault="007B67A6" w:rsidP="004A19C1">
            <w:pPr>
              <w:jc w:val="center"/>
            </w:pPr>
            <w:r w:rsidRPr="007936C3">
              <w:t>2013</w:t>
            </w:r>
            <w:r w:rsidR="00F06120" w:rsidRPr="007936C3">
              <w:t>/</w:t>
            </w:r>
            <w:r w:rsidRPr="007936C3">
              <w:t>14</w:t>
            </w:r>
          </w:p>
          <w:p w:rsidR="004A19C1" w:rsidRPr="007936C3" w:rsidRDefault="00F06120" w:rsidP="004A19C1">
            <w:pPr>
              <w:jc w:val="center"/>
            </w:pPr>
            <w:r w:rsidRPr="007936C3">
              <w:t>%</w:t>
            </w:r>
          </w:p>
        </w:tc>
        <w:tc>
          <w:tcPr>
            <w:tcW w:w="2311" w:type="dxa"/>
          </w:tcPr>
          <w:p w:rsidR="004A19C1" w:rsidRPr="007936C3" w:rsidRDefault="00F06120" w:rsidP="004A19C1">
            <w:pPr>
              <w:jc w:val="center"/>
            </w:pPr>
            <w:r w:rsidRPr="007936C3">
              <w:t>201</w:t>
            </w:r>
            <w:r w:rsidR="007B67A6" w:rsidRPr="007936C3">
              <w:t>4</w:t>
            </w:r>
            <w:r w:rsidRPr="007936C3">
              <w:t>/1</w:t>
            </w:r>
            <w:r w:rsidR="007B67A6" w:rsidRPr="007936C3">
              <w:t>5</w:t>
            </w:r>
          </w:p>
          <w:p w:rsidR="004A19C1" w:rsidRPr="007936C3" w:rsidRDefault="00F06120" w:rsidP="004A19C1">
            <w:pPr>
              <w:jc w:val="center"/>
            </w:pPr>
            <w:r w:rsidRPr="007936C3">
              <w:t>%</w:t>
            </w:r>
          </w:p>
        </w:tc>
        <w:tc>
          <w:tcPr>
            <w:tcW w:w="2311" w:type="dxa"/>
          </w:tcPr>
          <w:p w:rsidR="004A19C1" w:rsidRPr="007936C3" w:rsidRDefault="00F06120" w:rsidP="004A19C1">
            <w:pPr>
              <w:jc w:val="center"/>
            </w:pPr>
            <w:r w:rsidRPr="007936C3">
              <w:t>201</w:t>
            </w:r>
            <w:r w:rsidR="007B67A6" w:rsidRPr="007936C3">
              <w:t>5</w:t>
            </w:r>
            <w:r w:rsidRPr="007936C3">
              <w:t>/1</w:t>
            </w:r>
            <w:r w:rsidR="007B67A6" w:rsidRPr="007936C3">
              <w:t>6</w:t>
            </w:r>
          </w:p>
          <w:p w:rsidR="004A19C1" w:rsidRPr="007936C3" w:rsidRDefault="00F06120" w:rsidP="004A19C1">
            <w:pPr>
              <w:jc w:val="center"/>
            </w:pPr>
            <w:r w:rsidRPr="007936C3">
              <w:t>%</w:t>
            </w:r>
          </w:p>
        </w:tc>
      </w:tr>
      <w:tr w:rsidR="00D0762E" w:rsidRPr="007936C3" w:rsidTr="00D0762E">
        <w:tc>
          <w:tcPr>
            <w:tcW w:w="2310" w:type="dxa"/>
          </w:tcPr>
          <w:p w:rsidR="00D0762E" w:rsidRPr="007936C3" w:rsidRDefault="00F06120" w:rsidP="005F7FAC">
            <w:pPr>
              <w:jc w:val="both"/>
            </w:pPr>
            <w:r w:rsidRPr="007936C3">
              <w:t>Interest Paid</w:t>
            </w:r>
          </w:p>
        </w:tc>
        <w:tc>
          <w:tcPr>
            <w:tcW w:w="2310" w:type="dxa"/>
          </w:tcPr>
          <w:p w:rsidR="004A19C1" w:rsidRPr="007936C3" w:rsidRDefault="00F06120" w:rsidP="000D5627">
            <w:pPr>
              <w:jc w:val="center"/>
            </w:pPr>
            <w:r w:rsidRPr="007936C3">
              <w:t>2.16</w:t>
            </w:r>
          </w:p>
        </w:tc>
        <w:tc>
          <w:tcPr>
            <w:tcW w:w="2311" w:type="dxa"/>
          </w:tcPr>
          <w:p w:rsidR="004A19C1" w:rsidRPr="007936C3" w:rsidRDefault="00F06120" w:rsidP="000A32E8">
            <w:pPr>
              <w:jc w:val="center"/>
            </w:pPr>
            <w:r w:rsidRPr="007936C3">
              <w:t>3.00</w:t>
            </w:r>
          </w:p>
        </w:tc>
        <w:tc>
          <w:tcPr>
            <w:tcW w:w="2311" w:type="dxa"/>
          </w:tcPr>
          <w:p w:rsidR="004A19C1" w:rsidRPr="007936C3" w:rsidRDefault="00F06120" w:rsidP="000A32E8">
            <w:pPr>
              <w:jc w:val="center"/>
            </w:pPr>
            <w:r w:rsidRPr="007936C3">
              <w:t>3.00</w:t>
            </w:r>
          </w:p>
        </w:tc>
      </w:tr>
      <w:tr w:rsidR="00D0762E" w:rsidRPr="007936C3" w:rsidTr="00D0762E">
        <w:tc>
          <w:tcPr>
            <w:tcW w:w="2310" w:type="dxa"/>
          </w:tcPr>
          <w:p w:rsidR="00D0762E" w:rsidRPr="007936C3" w:rsidRDefault="00F06120" w:rsidP="005F7FAC">
            <w:pPr>
              <w:jc w:val="both"/>
            </w:pPr>
            <w:r w:rsidRPr="007936C3">
              <w:t>Interest Earned</w:t>
            </w:r>
          </w:p>
        </w:tc>
        <w:tc>
          <w:tcPr>
            <w:tcW w:w="2310" w:type="dxa"/>
          </w:tcPr>
          <w:p w:rsidR="004A19C1" w:rsidRPr="007936C3" w:rsidRDefault="00F06120" w:rsidP="000A32E8">
            <w:pPr>
              <w:jc w:val="center"/>
            </w:pPr>
            <w:r w:rsidRPr="007936C3">
              <w:t>2.78</w:t>
            </w:r>
          </w:p>
        </w:tc>
        <w:tc>
          <w:tcPr>
            <w:tcW w:w="2311" w:type="dxa"/>
          </w:tcPr>
          <w:p w:rsidR="004A19C1" w:rsidRPr="007936C3" w:rsidRDefault="00F06120" w:rsidP="008E41F9">
            <w:pPr>
              <w:jc w:val="center"/>
            </w:pPr>
            <w:r w:rsidRPr="007936C3">
              <w:t>3.20</w:t>
            </w:r>
          </w:p>
        </w:tc>
        <w:tc>
          <w:tcPr>
            <w:tcW w:w="2311" w:type="dxa"/>
          </w:tcPr>
          <w:p w:rsidR="004A19C1" w:rsidRPr="007936C3" w:rsidRDefault="00F06120" w:rsidP="000A32E8">
            <w:pPr>
              <w:jc w:val="center"/>
            </w:pPr>
            <w:r w:rsidRPr="007936C3">
              <w:t>3.20</w:t>
            </w:r>
          </w:p>
        </w:tc>
      </w:tr>
      <w:tr w:rsidR="00D0762E" w:rsidRPr="007936C3" w:rsidTr="00D0762E">
        <w:tc>
          <w:tcPr>
            <w:tcW w:w="2310" w:type="dxa"/>
          </w:tcPr>
          <w:p w:rsidR="00D0762E" w:rsidRPr="007936C3" w:rsidRDefault="00F06120" w:rsidP="005F7FAC">
            <w:pPr>
              <w:jc w:val="both"/>
            </w:pPr>
            <w:r w:rsidRPr="007936C3">
              <w:t xml:space="preserve">Net Interest </w:t>
            </w:r>
          </w:p>
        </w:tc>
        <w:tc>
          <w:tcPr>
            <w:tcW w:w="2310" w:type="dxa"/>
          </w:tcPr>
          <w:p w:rsidR="004A19C1" w:rsidRPr="007936C3" w:rsidRDefault="00F06120" w:rsidP="000A32E8">
            <w:pPr>
              <w:jc w:val="center"/>
            </w:pPr>
            <w:r w:rsidRPr="007936C3">
              <w:t>0.53</w:t>
            </w:r>
          </w:p>
        </w:tc>
        <w:tc>
          <w:tcPr>
            <w:tcW w:w="2311" w:type="dxa"/>
          </w:tcPr>
          <w:p w:rsidR="004A19C1" w:rsidRPr="007936C3" w:rsidRDefault="00F06120" w:rsidP="000D5627">
            <w:pPr>
              <w:jc w:val="center"/>
            </w:pPr>
            <w:r w:rsidRPr="007936C3">
              <w:t>0.23</w:t>
            </w:r>
          </w:p>
        </w:tc>
        <w:tc>
          <w:tcPr>
            <w:tcW w:w="2311" w:type="dxa"/>
          </w:tcPr>
          <w:p w:rsidR="004A19C1" w:rsidRPr="007936C3" w:rsidRDefault="00F06120" w:rsidP="000D5627">
            <w:pPr>
              <w:jc w:val="center"/>
            </w:pPr>
            <w:r w:rsidRPr="007936C3">
              <w:t>0.</w:t>
            </w:r>
            <w:r w:rsidR="000D5627" w:rsidRPr="007936C3">
              <w:t>23</w:t>
            </w:r>
          </w:p>
        </w:tc>
      </w:tr>
    </w:tbl>
    <w:p w:rsidR="00D0762E" w:rsidRPr="007936C3" w:rsidRDefault="00D0762E" w:rsidP="005F7FAC">
      <w:pPr>
        <w:jc w:val="both"/>
      </w:pPr>
    </w:p>
    <w:p w:rsidR="00D0762E" w:rsidRPr="001143BB" w:rsidRDefault="00D0762E" w:rsidP="005F7FAC">
      <w:pPr>
        <w:jc w:val="both"/>
        <w:rPr>
          <w:highlight w:val="yellow"/>
        </w:rPr>
      </w:pPr>
    </w:p>
    <w:p w:rsidR="00A26740" w:rsidRPr="001143BB" w:rsidRDefault="00A26740" w:rsidP="005F7FAC">
      <w:pPr>
        <w:spacing w:after="240"/>
        <w:jc w:val="both"/>
        <w:rPr>
          <w:highlight w:val="yellow"/>
        </w:rPr>
      </w:pPr>
      <w:r w:rsidRPr="001143BB">
        <w:rPr>
          <w:highlight w:val="yellow"/>
        </w:rPr>
        <w:br w:type="page"/>
      </w:r>
    </w:p>
    <w:p w:rsidR="00A26740" w:rsidRPr="002A48EA" w:rsidRDefault="00A26740" w:rsidP="00B474FF">
      <w:pPr>
        <w:spacing w:after="240"/>
        <w:rPr>
          <w:b/>
          <w:bCs/>
        </w:rPr>
      </w:pPr>
      <w:r w:rsidRPr="002A48EA">
        <w:rPr>
          <w:b/>
          <w:bCs/>
        </w:rPr>
        <w:t xml:space="preserve">Annex </w:t>
      </w:r>
      <w:r w:rsidR="004B52FC">
        <w:rPr>
          <w:b/>
          <w:bCs/>
        </w:rPr>
        <w:t>'</w:t>
      </w:r>
      <w:r w:rsidRPr="002A48EA">
        <w:rPr>
          <w:b/>
          <w:bCs/>
        </w:rPr>
        <w:t>A</w:t>
      </w:r>
      <w:r w:rsidR="004B52FC">
        <w:rPr>
          <w:b/>
          <w:bCs/>
        </w:rPr>
        <w:t>'</w:t>
      </w:r>
      <w:bookmarkStart w:id="0" w:name="_GoBack"/>
      <w:bookmarkEnd w:id="0"/>
    </w:p>
    <w:p w:rsidR="004F3510" w:rsidRPr="002A48EA" w:rsidRDefault="004F3510" w:rsidP="004F3510">
      <w:pPr>
        <w:rPr>
          <w:b/>
        </w:rPr>
      </w:pPr>
      <w:r w:rsidRPr="002A48EA">
        <w:rPr>
          <w:b/>
        </w:rPr>
        <w:t>PRUDENTIAL INDICATORS</w:t>
      </w:r>
    </w:p>
    <w:p w:rsidR="004F3510" w:rsidRPr="002A48EA" w:rsidRDefault="004F3510" w:rsidP="004F3510"/>
    <w:p w:rsidR="00A26740" w:rsidRPr="002A48EA" w:rsidRDefault="007E527B" w:rsidP="00A26740">
      <w:pPr>
        <w:spacing w:after="240"/>
        <w:jc w:val="both"/>
      </w:pPr>
      <w:r w:rsidRPr="002A48EA">
        <w:t xml:space="preserve">In line with the relevant legislation the County Council has adopted the Prudential Code for Capital Finance in Local Authorities and the CIPFA Treasury Management in the Public Services Code of Practice as setting the framework of principles for its Treasury Management activities. </w:t>
      </w:r>
      <w:r w:rsidR="00A26740" w:rsidRPr="002A48EA">
        <w:t>In accordance with the requirements of the</w:t>
      </w:r>
      <w:r w:rsidRPr="002A48EA">
        <w:t xml:space="preserve">se codes </w:t>
      </w:r>
      <w:r w:rsidR="00A26740" w:rsidRPr="002A48EA">
        <w:t xml:space="preserve">the County Council produces each year a set of prudential indicators which assist in the process of monitoring the degree of prudence with which the Council undertakes its </w:t>
      </w:r>
      <w:r w:rsidR="004F3510" w:rsidRPr="002A48EA">
        <w:t xml:space="preserve">Capital Expenditure and </w:t>
      </w:r>
      <w:r w:rsidR="00A26740" w:rsidRPr="002A48EA">
        <w:t>Treasury Management activities. Certain of these indicators also provide specific limits with regard to certain types of activity such as borrowing.</w:t>
      </w:r>
      <w:r w:rsidR="00E13CB0" w:rsidRPr="002A48EA">
        <w:t xml:space="preserve"> These indicators are a consequence of the borrowing requirements and actions set out within the body of </w:t>
      </w:r>
      <w:r w:rsidR="004F3510" w:rsidRPr="002A48EA">
        <w:t xml:space="preserve">the </w:t>
      </w:r>
      <w:r w:rsidR="00E13CB0" w:rsidRPr="002A48EA">
        <w:t>Treasury Management Strategy.</w:t>
      </w:r>
    </w:p>
    <w:p w:rsidR="00AE032B" w:rsidRPr="00E9023E" w:rsidRDefault="00AE032B" w:rsidP="00E9023E">
      <w:pPr>
        <w:pStyle w:val="ListParagraph"/>
        <w:numPr>
          <w:ilvl w:val="0"/>
          <w:numId w:val="29"/>
        </w:numPr>
        <w:spacing w:after="240"/>
        <w:jc w:val="both"/>
        <w:rPr>
          <w:b/>
        </w:rPr>
      </w:pPr>
      <w:r w:rsidRPr="00E9023E">
        <w:rPr>
          <w:b/>
        </w:rPr>
        <w:t>Adoption of CIPFA Treasury Management Code of Practice (2011)</w:t>
      </w:r>
    </w:p>
    <w:tbl>
      <w:tblPr>
        <w:tblW w:w="0" w:type="auto"/>
        <w:jc w:val="center"/>
        <w:tblLayout w:type="fixed"/>
        <w:tblLook w:val="0000" w:firstRow="0" w:lastRow="0" w:firstColumn="0" w:lastColumn="0" w:noHBand="0" w:noVBand="0"/>
      </w:tblPr>
      <w:tblGrid>
        <w:gridCol w:w="1822"/>
        <w:gridCol w:w="1821"/>
        <w:gridCol w:w="1822"/>
        <w:gridCol w:w="1822"/>
      </w:tblGrid>
      <w:tr w:rsidR="00AE032B" w:rsidRPr="002A48EA" w:rsidTr="00AE032B">
        <w:trPr>
          <w:jc w:val="center"/>
        </w:trPr>
        <w:tc>
          <w:tcPr>
            <w:tcW w:w="1822" w:type="dxa"/>
          </w:tcPr>
          <w:p w:rsidR="00AE032B" w:rsidRPr="002A48EA" w:rsidRDefault="00AE032B" w:rsidP="002A48EA">
            <w:pPr>
              <w:ind w:right="-662"/>
              <w:jc w:val="center"/>
              <w:rPr>
                <w:b/>
              </w:rPr>
            </w:pPr>
            <w:r w:rsidRPr="002A48EA">
              <w:rPr>
                <w:b/>
                <w:caps/>
              </w:rPr>
              <w:t xml:space="preserve">  201</w:t>
            </w:r>
            <w:r w:rsidR="002A48EA" w:rsidRPr="002A48EA">
              <w:rPr>
                <w:b/>
                <w:caps/>
              </w:rPr>
              <w:t>3</w:t>
            </w:r>
            <w:r w:rsidRPr="002A48EA">
              <w:rPr>
                <w:b/>
                <w:caps/>
              </w:rPr>
              <w:t>/</w:t>
            </w:r>
            <w:r w:rsidR="002A48EA" w:rsidRPr="002A48EA">
              <w:rPr>
                <w:b/>
                <w:caps/>
              </w:rPr>
              <w:t>4</w:t>
            </w:r>
          </w:p>
        </w:tc>
        <w:tc>
          <w:tcPr>
            <w:tcW w:w="1821" w:type="dxa"/>
          </w:tcPr>
          <w:p w:rsidR="00AE032B" w:rsidRPr="002A48EA" w:rsidRDefault="00AE032B" w:rsidP="002A48EA">
            <w:pPr>
              <w:ind w:right="-521"/>
              <w:jc w:val="center"/>
              <w:rPr>
                <w:b/>
              </w:rPr>
            </w:pPr>
            <w:r w:rsidRPr="002A48EA">
              <w:rPr>
                <w:b/>
              </w:rPr>
              <w:t xml:space="preserve">   201</w:t>
            </w:r>
            <w:r w:rsidR="002A48EA" w:rsidRPr="002A48EA">
              <w:rPr>
                <w:b/>
              </w:rPr>
              <w:t>4</w:t>
            </w:r>
            <w:r w:rsidRPr="002A48EA">
              <w:rPr>
                <w:b/>
              </w:rPr>
              <w:t>/1</w:t>
            </w:r>
            <w:r w:rsidR="002A48EA" w:rsidRPr="002A48EA">
              <w:rPr>
                <w:b/>
              </w:rPr>
              <w:t>5</w:t>
            </w:r>
          </w:p>
        </w:tc>
        <w:tc>
          <w:tcPr>
            <w:tcW w:w="1822" w:type="dxa"/>
          </w:tcPr>
          <w:p w:rsidR="00AE032B" w:rsidRPr="002A48EA" w:rsidRDefault="00AE032B" w:rsidP="002A48EA">
            <w:pPr>
              <w:ind w:right="-521"/>
              <w:jc w:val="center"/>
              <w:rPr>
                <w:b/>
              </w:rPr>
            </w:pPr>
            <w:r w:rsidRPr="002A48EA">
              <w:rPr>
                <w:b/>
              </w:rPr>
              <w:t xml:space="preserve">  201</w:t>
            </w:r>
            <w:r w:rsidR="002A48EA" w:rsidRPr="002A48EA">
              <w:rPr>
                <w:b/>
              </w:rPr>
              <w:t>5</w:t>
            </w:r>
            <w:r w:rsidRPr="002A48EA">
              <w:rPr>
                <w:b/>
              </w:rPr>
              <w:t>/1</w:t>
            </w:r>
            <w:r w:rsidR="002A48EA" w:rsidRPr="002A48EA">
              <w:rPr>
                <w:b/>
              </w:rPr>
              <w:t>6</w:t>
            </w:r>
          </w:p>
        </w:tc>
        <w:tc>
          <w:tcPr>
            <w:tcW w:w="1822" w:type="dxa"/>
          </w:tcPr>
          <w:p w:rsidR="00AE032B" w:rsidRPr="002A48EA" w:rsidRDefault="00AE032B" w:rsidP="002A48EA">
            <w:pPr>
              <w:ind w:right="-521"/>
              <w:jc w:val="center"/>
              <w:rPr>
                <w:b/>
              </w:rPr>
            </w:pPr>
            <w:r w:rsidRPr="002A48EA">
              <w:rPr>
                <w:b/>
              </w:rPr>
              <w:t xml:space="preserve">      201</w:t>
            </w:r>
            <w:r w:rsidR="002A48EA" w:rsidRPr="002A48EA">
              <w:rPr>
                <w:b/>
              </w:rPr>
              <w:t>6</w:t>
            </w:r>
            <w:r w:rsidRPr="002A48EA">
              <w:rPr>
                <w:b/>
              </w:rPr>
              <w:t>/1</w:t>
            </w:r>
            <w:r w:rsidR="002A48EA" w:rsidRPr="002A48EA">
              <w:rPr>
                <w:b/>
              </w:rPr>
              <w:t>7</w:t>
            </w:r>
          </w:p>
        </w:tc>
      </w:tr>
    </w:tbl>
    <w:p w:rsidR="00AE032B" w:rsidRPr="002A48EA" w:rsidRDefault="00AE032B" w:rsidP="00C2176F">
      <w:pPr>
        <w:spacing w:after="240"/>
        <w:jc w:val="center"/>
      </w:pPr>
      <w:r w:rsidRPr="002A48EA">
        <w:t>Adopted for all years</w:t>
      </w:r>
    </w:p>
    <w:p w:rsidR="004F3510" w:rsidRPr="002A48EA" w:rsidRDefault="004F3510" w:rsidP="00E9023E">
      <w:pPr>
        <w:pStyle w:val="Heading3"/>
        <w:numPr>
          <w:ilvl w:val="0"/>
          <w:numId w:val="29"/>
        </w:numPr>
      </w:pPr>
      <w:r w:rsidRPr="002A48EA">
        <w:t>Indicators on Capital Expenditure and Financing</w:t>
      </w:r>
    </w:p>
    <w:p w:rsidR="004F3510" w:rsidRPr="002A48EA" w:rsidRDefault="004F3510" w:rsidP="004F3510">
      <w:pPr>
        <w:spacing w:after="240"/>
      </w:pPr>
      <w:r w:rsidRPr="002A48EA">
        <w:t>The total capital expenditure in each year, irrespective of the method of financing estimated to be incurred by the County Council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1822"/>
        <w:gridCol w:w="1821"/>
        <w:gridCol w:w="1822"/>
        <w:gridCol w:w="1822"/>
      </w:tblGrid>
      <w:tr w:rsidR="004F3510" w:rsidRPr="001143BB" w:rsidTr="00392C2F">
        <w:tc>
          <w:tcPr>
            <w:tcW w:w="1821" w:type="dxa"/>
          </w:tcPr>
          <w:p w:rsidR="004F3510" w:rsidRPr="004917B9" w:rsidRDefault="004F3510" w:rsidP="002A48EA">
            <w:pPr>
              <w:jc w:val="center"/>
              <w:rPr>
                <w:b/>
              </w:rPr>
            </w:pPr>
            <w:r w:rsidRPr="004917B9">
              <w:rPr>
                <w:b/>
                <w:caps/>
              </w:rPr>
              <w:t>201</w:t>
            </w:r>
            <w:r w:rsidR="002A48EA" w:rsidRPr="004917B9">
              <w:rPr>
                <w:b/>
                <w:caps/>
              </w:rPr>
              <w:t>2</w:t>
            </w:r>
            <w:r w:rsidRPr="004917B9">
              <w:rPr>
                <w:b/>
                <w:caps/>
              </w:rPr>
              <w:t>/1</w:t>
            </w:r>
            <w:r w:rsidR="002A48EA" w:rsidRPr="004917B9">
              <w:rPr>
                <w:b/>
                <w:caps/>
              </w:rPr>
              <w:t>3</w:t>
            </w:r>
          </w:p>
        </w:tc>
        <w:tc>
          <w:tcPr>
            <w:tcW w:w="1822" w:type="dxa"/>
          </w:tcPr>
          <w:p w:rsidR="004F3510" w:rsidRPr="002A48EA" w:rsidRDefault="004F3510" w:rsidP="002A48EA">
            <w:pPr>
              <w:jc w:val="center"/>
              <w:rPr>
                <w:b/>
              </w:rPr>
            </w:pPr>
            <w:r w:rsidRPr="002A48EA">
              <w:rPr>
                <w:b/>
                <w:caps/>
              </w:rPr>
              <w:t>201</w:t>
            </w:r>
            <w:r w:rsidR="002A48EA" w:rsidRPr="002A48EA">
              <w:rPr>
                <w:b/>
                <w:caps/>
              </w:rPr>
              <w:t>3</w:t>
            </w:r>
            <w:r w:rsidRPr="002A48EA">
              <w:rPr>
                <w:b/>
                <w:caps/>
              </w:rPr>
              <w:t>/1</w:t>
            </w:r>
            <w:r w:rsidR="002A48EA" w:rsidRPr="002A48EA">
              <w:rPr>
                <w:b/>
                <w:caps/>
              </w:rPr>
              <w:t>4</w:t>
            </w:r>
          </w:p>
        </w:tc>
        <w:tc>
          <w:tcPr>
            <w:tcW w:w="1821" w:type="dxa"/>
          </w:tcPr>
          <w:p w:rsidR="004F3510" w:rsidRPr="002A48EA" w:rsidRDefault="004F3510" w:rsidP="002A48EA">
            <w:pPr>
              <w:jc w:val="center"/>
              <w:rPr>
                <w:b/>
              </w:rPr>
            </w:pPr>
            <w:r w:rsidRPr="002A48EA">
              <w:rPr>
                <w:b/>
              </w:rPr>
              <w:t>201</w:t>
            </w:r>
            <w:r w:rsidR="002A48EA" w:rsidRPr="002A48EA">
              <w:rPr>
                <w:b/>
              </w:rPr>
              <w:t>4</w:t>
            </w:r>
            <w:r w:rsidRPr="002A48EA">
              <w:rPr>
                <w:b/>
              </w:rPr>
              <w:t>/1</w:t>
            </w:r>
            <w:r w:rsidR="002A48EA" w:rsidRPr="002A48EA">
              <w:rPr>
                <w:b/>
              </w:rPr>
              <w:t>5</w:t>
            </w:r>
          </w:p>
        </w:tc>
        <w:tc>
          <w:tcPr>
            <w:tcW w:w="1822" w:type="dxa"/>
          </w:tcPr>
          <w:p w:rsidR="004F3510" w:rsidRPr="002A48EA" w:rsidRDefault="004F3510" w:rsidP="002A48EA">
            <w:pPr>
              <w:jc w:val="center"/>
              <w:rPr>
                <w:b/>
              </w:rPr>
            </w:pPr>
            <w:r w:rsidRPr="002A48EA">
              <w:rPr>
                <w:b/>
              </w:rPr>
              <w:t>201</w:t>
            </w:r>
            <w:r w:rsidR="002A48EA" w:rsidRPr="002A48EA">
              <w:rPr>
                <w:b/>
              </w:rPr>
              <w:t>5</w:t>
            </w:r>
            <w:r w:rsidRPr="002A48EA">
              <w:rPr>
                <w:b/>
              </w:rPr>
              <w:t>/1</w:t>
            </w:r>
            <w:r w:rsidR="002A48EA" w:rsidRPr="002A48EA">
              <w:rPr>
                <w:b/>
              </w:rPr>
              <w:t>6</w:t>
            </w:r>
          </w:p>
        </w:tc>
        <w:tc>
          <w:tcPr>
            <w:tcW w:w="1822" w:type="dxa"/>
          </w:tcPr>
          <w:p w:rsidR="004F3510" w:rsidRPr="002A48EA" w:rsidRDefault="004F3510" w:rsidP="002A48EA">
            <w:pPr>
              <w:jc w:val="center"/>
              <w:rPr>
                <w:b/>
              </w:rPr>
            </w:pPr>
            <w:r w:rsidRPr="002A48EA">
              <w:rPr>
                <w:b/>
              </w:rPr>
              <w:t>201</w:t>
            </w:r>
            <w:r w:rsidR="002A48EA" w:rsidRPr="002A48EA">
              <w:rPr>
                <w:b/>
              </w:rPr>
              <w:t>6</w:t>
            </w:r>
            <w:r w:rsidRPr="002A48EA">
              <w:rPr>
                <w:b/>
              </w:rPr>
              <w:t>/1</w:t>
            </w:r>
            <w:r w:rsidR="002A48EA" w:rsidRPr="002A48EA">
              <w:rPr>
                <w:b/>
              </w:rPr>
              <w:t>7</w:t>
            </w:r>
          </w:p>
        </w:tc>
      </w:tr>
      <w:tr w:rsidR="004F3510" w:rsidRPr="001143BB" w:rsidTr="00392C2F">
        <w:tc>
          <w:tcPr>
            <w:tcW w:w="1821" w:type="dxa"/>
          </w:tcPr>
          <w:p w:rsidR="004F3510" w:rsidRPr="004917B9" w:rsidRDefault="004F3510" w:rsidP="004F3510">
            <w:pPr>
              <w:jc w:val="center"/>
              <w:rPr>
                <w:b/>
              </w:rPr>
            </w:pPr>
            <w:r w:rsidRPr="004917B9">
              <w:rPr>
                <w:b/>
              </w:rPr>
              <w:t>Actual</w:t>
            </w:r>
          </w:p>
        </w:tc>
        <w:tc>
          <w:tcPr>
            <w:tcW w:w="1822" w:type="dxa"/>
          </w:tcPr>
          <w:p w:rsidR="004F3510" w:rsidRPr="002A48EA" w:rsidRDefault="004F3510" w:rsidP="004F3510">
            <w:pPr>
              <w:jc w:val="center"/>
              <w:rPr>
                <w:b/>
              </w:rPr>
            </w:pPr>
            <w:r w:rsidRPr="002A48EA">
              <w:rPr>
                <w:b/>
              </w:rPr>
              <w:t>Estimate</w:t>
            </w:r>
          </w:p>
        </w:tc>
        <w:tc>
          <w:tcPr>
            <w:tcW w:w="1821" w:type="dxa"/>
          </w:tcPr>
          <w:p w:rsidR="004F3510" w:rsidRPr="002A48EA" w:rsidRDefault="004F3510" w:rsidP="004F3510">
            <w:pPr>
              <w:jc w:val="center"/>
              <w:rPr>
                <w:b/>
              </w:rPr>
            </w:pPr>
            <w:r w:rsidRPr="002A48EA">
              <w:rPr>
                <w:b/>
              </w:rPr>
              <w:t>Estimate</w:t>
            </w:r>
          </w:p>
        </w:tc>
        <w:tc>
          <w:tcPr>
            <w:tcW w:w="1822" w:type="dxa"/>
          </w:tcPr>
          <w:p w:rsidR="004F3510" w:rsidRPr="002A48EA" w:rsidRDefault="004F3510" w:rsidP="004F3510">
            <w:pPr>
              <w:jc w:val="center"/>
              <w:rPr>
                <w:b/>
              </w:rPr>
            </w:pPr>
            <w:r w:rsidRPr="002A48EA">
              <w:rPr>
                <w:b/>
              </w:rPr>
              <w:t>Estimate</w:t>
            </w:r>
          </w:p>
        </w:tc>
        <w:tc>
          <w:tcPr>
            <w:tcW w:w="1822" w:type="dxa"/>
          </w:tcPr>
          <w:p w:rsidR="004F3510" w:rsidRPr="002A48EA" w:rsidRDefault="004F3510" w:rsidP="004F3510">
            <w:pPr>
              <w:jc w:val="center"/>
              <w:rPr>
                <w:b/>
              </w:rPr>
            </w:pPr>
            <w:r w:rsidRPr="002A48EA">
              <w:rPr>
                <w:b/>
              </w:rPr>
              <w:t>Estimate</w:t>
            </w:r>
          </w:p>
        </w:tc>
      </w:tr>
      <w:tr w:rsidR="004F3510" w:rsidRPr="001143BB" w:rsidTr="00392C2F">
        <w:tc>
          <w:tcPr>
            <w:tcW w:w="1821" w:type="dxa"/>
          </w:tcPr>
          <w:p w:rsidR="004F3510" w:rsidRPr="004917B9" w:rsidRDefault="004F3510" w:rsidP="00221A79">
            <w:pPr>
              <w:spacing w:after="120"/>
              <w:jc w:val="center"/>
              <w:rPr>
                <w:b/>
              </w:rPr>
            </w:pPr>
            <w:r w:rsidRPr="004917B9">
              <w:rPr>
                <w:b/>
              </w:rPr>
              <w:t>£</w:t>
            </w:r>
            <w:r w:rsidR="00221A79" w:rsidRPr="004917B9">
              <w:rPr>
                <w:b/>
              </w:rPr>
              <w:t>m</w:t>
            </w:r>
          </w:p>
        </w:tc>
        <w:tc>
          <w:tcPr>
            <w:tcW w:w="1822" w:type="dxa"/>
          </w:tcPr>
          <w:p w:rsidR="004F3510" w:rsidRPr="002A48EA" w:rsidRDefault="004F3510" w:rsidP="00221A79">
            <w:pPr>
              <w:spacing w:after="120"/>
              <w:jc w:val="center"/>
              <w:rPr>
                <w:b/>
              </w:rPr>
            </w:pPr>
            <w:r w:rsidRPr="002A48EA">
              <w:rPr>
                <w:b/>
              </w:rPr>
              <w:t>£</w:t>
            </w:r>
            <w:r w:rsidR="00221A79" w:rsidRPr="002A48EA">
              <w:rPr>
                <w:b/>
              </w:rPr>
              <w:t>m</w:t>
            </w:r>
          </w:p>
        </w:tc>
        <w:tc>
          <w:tcPr>
            <w:tcW w:w="1821" w:type="dxa"/>
          </w:tcPr>
          <w:p w:rsidR="004F3510" w:rsidRPr="002A48EA" w:rsidRDefault="004F3510" w:rsidP="00221A79">
            <w:pPr>
              <w:spacing w:after="120"/>
              <w:jc w:val="center"/>
              <w:rPr>
                <w:b/>
              </w:rPr>
            </w:pPr>
            <w:r w:rsidRPr="002A48EA">
              <w:rPr>
                <w:b/>
              </w:rPr>
              <w:t>£</w:t>
            </w:r>
            <w:r w:rsidR="00F637E1" w:rsidRPr="002A48EA">
              <w:rPr>
                <w:b/>
              </w:rPr>
              <w:t>m</w:t>
            </w:r>
          </w:p>
        </w:tc>
        <w:tc>
          <w:tcPr>
            <w:tcW w:w="1822" w:type="dxa"/>
          </w:tcPr>
          <w:p w:rsidR="004F3510" w:rsidRPr="002A48EA" w:rsidRDefault="004F3510" w:rsidP="00221A79">
            <w:pPr>
              <w:spacing w:after="120"/>
              <w:jc w:val="center"/>
              <w:rPr>
                <w:b/>
              </w:rPr>
            </w:pPr>
            <w:r w:rsidRPr="002A48EA">
              <w:rPr>
                <w:b/>
              </w:rPr>
              <w:t>£</w:t>
            </w:r>
            <w:r w:rsidR="00221A79" w:rsidRPr="002A48EA">
              <w:rPr>
                <w:b/>
              </w:rPr>
              <w:t>m</w:t>
            </w:r>
          </w:p>
        </w:tc>
        <w:tc>
          <w:tcPr>
            <w:tcW w:w="1822" w:type="dxa"/>
          </w:tcPr>
          <w:p w:rsidR="004F3510" w:rsidRPr="002A48EA" w:rsidRDefault="004F3510" w:rsidP="00221A79">
            <w:pPr>
              <w:spacing w:after="120"/>
              <w:jc w:val="center"/>
              <w:rPr>
                <w:b/>
              </w:rPr>
            </w:pPr>
            <w:r w:rsidRPr="002A48EA">
              <w:rPr>
                <w:b/>
              </w:rPr>
              <w:t>£</w:t>
            </w:r>
            <w:r w:rsidR="00221A79" w:rsidRPr="002A48EA">
              <w:rPr>
                <w:b/>
              </w:rPr>
              <w:t>m</w:t>
            </w:r>
          </w:p>
        </w:tc>
      </w:tr>
      <w:tr w:rsidR="004F3510" w:rsidRPr="001143BB" w:rsidTr="00392C2F">
        <w:tc>
          <w:tcPr>
            <w:tcW w:w="1821" w:type="dxa"/>
          </w:tcPr>
          <w:p w:rsidR="004F3510" w:rsidRPr="004917B9" w:rsidRDefault="004917B9" w:rsidP="00931FB3">
            <w:pPr>
              <w:spacing w:after="240"/>
              <w:jc w:val="center"/>
            </w:pPr>
            <w:r w:rsidRPr="004917B9">
              <w:t>139.400</w:t>
            </w:r>
          </w:p>
        </w:tc>
        <w:tc>
          <w:tcPr>
            <w:tcW w:w="1822" w:type="dxa"/>
          </w:tcPr>
          <w:p w:rsidR="004F3510" w:rsidRPr="002A48EA" w:rsidRDefault="00277CAC" w:rsidP="00931FB3">
            <w:pPr>
              <w:spacing w:after="240"/>
              <w:jc w:val="center"/>
            </w:pPr>
            <w:r>
              <w:t>163</w:t>
            </w:r>
            <w:r w:rsidR="00931FB3">
              <w:t>.</w:t>
            </w:r>
            <w:r>
              <w:t>657</w:t>
            </w:r>
          </w:p>
        </w:tc>
        <w:tc>
          <w:tcPr>
            <w:tcW w:w="1821" w:type="dxa"/>
          </w:tcPr>
          <w:p w:rsidR="004F3510" w:rsidRPr="002A48EA" w:rsidRDefault="00277CAC" w:rsidP="00931FB3">
            <w:pPr>
              <w:spacing w:after="240"/>
              <w:jc w:val="center"/>
            </w:pPr>
            <w:r>
              <w:t>204</w:t>
            </w:r>
            <w:r w:rsidR="00931FB3">
              <w:t>.</w:t>
            </w:r>
            <w:r>
              <w:t>733</w:t>
            </w:r>
          </w:p>
        </w:tc>
        <w:tc>
          <w:tcPr>
            <w:tcW w:w="1822" w:type="dxa"/>
          </w:tcPr>
          <w:p w:rsidR="004F3510" w:rsidRPr="002A48EA" w:rsidRDefault="00277CAC" w:rsidP="00931FB3">
            <w:pPr>
              <w:spacing w:after="240"/>
              <w:jc w:val="center"/>
            </w:pPr>
            <w:r>
              <w:t>160</w:t>
            </w:r>
            <w:r w:rsidR="00931FB3">
              <w:t>.</w:t>
            </w:r>
            <w:r>
              <w:t>678</w:t>
            </w:r>
          </w:p>
        </w:tc>
        <w:tc>
          <w:tcPr>
            <w:tcW w:w="1822" w:type="dxa"/>
          </w:tcPr>
          <w:p w:rsidR="004F3510" w:rsidRPr="002A48EA" w:rsidRDefault="00277CAC" w:rsidP="00931FB3">
            <w:pPr>
              <w:spacing w:after="240"/>
              <w:jc w:val="center"/>
            </w:pPr>
            <w:r>
              <w:t>69</w:t>
            </w:r>
            <w:r w:rsidR="00931FB3">
              <w:t>.</w:t>
            </w:r>
            <w:r>
              <w:t>759</w:t>
            </w:r>
          </w:p>
        </w:tc>
      </w:tr>
    </w:tbl>
    <w:p w:rsidR="004F3510" w:rsidRPr="001143BB" w:rsidRDefault="004F3510" w:rsidP="004F3510">
      <w:pPr>
        <w:spacing w:after="240"/>
        <w:rPr>
          <w:highlight w:val="yellow"/>
        </w:rPr>
      </w:pPr>
      <w:r w:rsidRPr="002A48EA">
        <w:t xml:space="preserve">The estimated capital expenditure stated above will be financed by a mixture of borrowing, capital receipts, revenue contributions, grants and other contributions.  A key control of the prudential system is the underlying need to borrow for capital purposes, which is represented by the cumulative effect of past borrowing decisions and future plans.  This is shown as the capital financing requirement.  This is not the same as the actual borrowing on any one day, as </w:t>
      </w:r>
      <w:r w:rsidR="00221A79" w:rsidRPr="002A48EA">
        <w:t xml:space="preserve">day to day borrowing requirements incorporate the effect of </w:t>
      </w:r>
      <w:r w:rsidRPr="002A48EA">
        <w:t xml:space="preserve">cash flow movements relating to </w:t>
      </w:r>
      <w:r w:rsidR="00221A79" w:rsidRPr="002A48EA">
        <w:t xml:space="preserve">both </w:t>
      </w:r>
      <w:r w:rsidRPr="002A48EA">
        <w:t xml:space="preserve">capital and revenue </w:t>
      </w:r>
      <w:r w:rsidR="00221A79" w:rsidRPr="002A48EA">
        <w:t>expenditure and income</w:t>
      </w:r>
      <w:r w:rsidRPr="002A48EA">
        <w:t>.  The estimate of the capital financing requirement for each year is as follows</w:t>
      </w:r>
      <w:r w:rsidR="00E8740A" w:rsidRPr="002A48EA">
        <w:t>, and includes the impact of PFI obligations.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1822"/>
        <w:gridCol w:w="1821"/>
        <w:gridCol w:w="1822"/>
        <w:gridCol w:w="1822"/>
      </w:tblGrid>
      <w:tr w:rsidR="004F3510" w:rsidRPr="001143BB" w:rsidTr="00392C2F">
        <w:tc>
          <w:tcPr>
            <w:tcW w:w="1821" w:type="dxa"/>
          </w:tcPr>
          <w:p w:rsidR="004F3510" w:rsidRPr="00931FB3" w:rsidRDefault="004F3510" w:rsidP="002A48EA">
            <w:pPr>
              <w:jc w:val="center"/>
              <w:rPr>
                <w:b/>
              </w:rPr>
            </w:pPr>
            <w:r w:rsidRPr="00931FB3">
              <w:rPr>
                <w:b/>
                <w:caps/>
              </w:rPr>
              <w:t>201</w:t>
            </w:r>
            <w:r w:rsidR="002A48EA" w:rsidRPr="00931FB3">
              <w:rPr>
                <w:b/>
                <w:caps/>
              </w:rPr>
              <w:t>2</w:t>
            </w:r>
            <w:r w:rsidRPr="00931FB3">
              <w:rPr>
                <w:b/>
                <w:caps/>
              </w:rPr>
              <w:t>/1</w:t>
            </w:r>
            <w:r w:rsidR="002A48EA" w:rsidRPr="00931FB3">
              <w:rPr>
                <w:b/>
                <w:caps/>
              </w:rPr>
              <w:t>3</w:t>
            </w:r>
          </w:p>
        </w:tc>
        <w:tc>
          <w:tcPr>
            <w:tcW w:w="1822" w:type="dxa"/>
          </w:tcPr>
          <w:p w:rsidR="004F3510" w:rsidRPr="002A48EA" w:rsidRDefault="004F3510" w:rsidP="002A48EA">
            <w:pPr>
              <w:jc w:val="center"/>
              <w:rPr>
                <w:b/>
              </w:rPr>
            </w:pPr>
            <w:r w:rsidRPr="002A48EA">
              <w:rPr>
                <w:b/>
                <w:caps/>
              </w:rPr>
              <w:t>201</w:t>
            </w:r>
            <w:r w:rsidR="002A48EA" w:rsidRPr="002A48EA">
              <w:rPr>
                <w:b/>
                <w:caps/>
              </w:rPr>
              <w:t>3</w:t>
            </w:r>
            <w:r w:rsidRPr="002A48EA">
              <w:rPr>
                <w:b/>
                <w:caps/>
              </w:rPr>
              <w:t>/1</w:t>
            </w:r>
            <w:r w:rsidR="002A48EA" w:rsidRPr="002A48EA">
              <w:rPr>
                <w:b/>
                <w:caps/>
              </w:rPr>
              <w:t>4</w:t>
            </w:r>
          </w:p>
        </w:tc>
        <w:tc>
          <w:tcPr>
            <w:tcW w:w="1821" w:type="dxa"/>
          </w:tcPr>
          <w:p w:rsidR="004F3510" w:rsidRPr="002A48EA" w:rsidRDefault="004F3510" w:rsidP="002A48EA">
            <w:pPr>
              <w:jc w:val="center"/>
              <w:rPr>
                <w:b/>
              </w:rPr>
            </w:pPr>
            <w:r w:rsidRPr="002A48EA">
              <w:rPr>
                <w:b/>
              </w:rPr>
              <w:t>201</w:t>
            </w:r>
            <w:r w:rsidR="002A48EA" w:rsidRPr="002A48EA">
              <w:rPr>
                <w:b/>
              </w:rPr>
              <w:t>4</w:t>
            </w:r>
            <w:r w:rsidRPr="002A48EA">
              <w:rPr>
                <w:b/>
              </w:rPr>
              <w:t>/1</w:t>
            </w:r>
            <w:r w:rsidR="002A48EA" w:rsidRPr="002A48EA">
              <w:rPr>
                <w:b/>
              </w:rPr>
              <w:t>5</w:t>
            </w:r>
          </w:p>
        </w:tc>
        <w:tc>
          <w:tcPr>
            <w:tcW w:w="1822" w:type="dxa"/>
          </w:tcPr>
          <w:p w:rsidR="004F3510" w:rsidRPr="002A48EA" w:rsidRDefault="004F3510" w:rsidP="002A48EA">
            <w:pPr>
              <w:jc w:val="center"/>
              <w:rPr>
                <w:b/>
              </w:rPr>
            </w:pPr>
            <w:r w:rsidRPr="002A48EA">
              <w:rPr>
                <w:b/>
              </w:rPr>
              <w:t>201</w:t>
            </w:r>
            <w:r w:rsidR="002A48EA" w:rsidRPr="002A48EA">
              <w:rPr>
                <w:b/>
              </w:rPr>
              <w:t>5</w:t>
            </w:r>
            <w:r w:rsidRPr="002A48EA">
              <w:rPr>
                <w:b/>
              </w:rPr>
              <w:t>/1</w:t>
            </w:r>
            <w:r w:rsidR="002A48EA" w:rsidRPr="002A48EA">
              <w:rPr>
                <w:b/>
              </w:rPr>
              <w:t>6</w:t>
            </w:r>
          </w:p>
        </w:tc>
        <w:tc>
          <w:tcPr>
            <w:tcW w:w="1822" w:type="dxa"/>
          </w:tcPr>
          <w:p w:rsidR="004F3510" w:rsidRPr="002A48EA" w:rsidRDefault="004F3510" w:rsidP="002A48EA">
            <w:pPr>
              <w:jc w:val="center"/>
              <w:rPr>
                <w:b/>
              </w:rPr>
            </w:pPr>
            <w:r w:rsidRPr="002A48EA">
              <w:rPr>
                <w:b/>
              </w:rPr>
              <w:t>201</w:t>
            </w:r>
            <w:r w:rsidR="002A48EA" w:rsidRPr="002A48EA">
              <w:rPr>
                <w:b/>
              </w:rPr>
              <w:t>6</w:t>
            </w:r>
            <w:r w:rsidRPr="002A48EA">
              <w:rPr>
                <w:b/>
              </w:rPr>
              <w:t>/1</w:t>
            </w:r>
            <w:r w:rsidR="002A48EA" w:rsidRPr="002A48EA">
              <w:rPr>
                <w:b/>
              </w:rPr>
              <w:t>7</w:t>
            </w:r>
          </w:p>
        </w:tc>
      </w:tr>
      <w:tr w:rsidR="004F3510" w:rsidRPr="001143BB" w:rsidTr="00392C2F">
        <w:tc>
          <w:tcPr>
            <w:tcW w:w="1821" w:type="dxa"/>
          </w:tcPr>
          <w:p w:rsidR="004F3510" w:rsidRPr="00931FB3" w:rsidRDefault="004F3510" w:rsidP="004F3510">
            <w:pPr>
              <w:jc w:val="center"/>
              <w:rPr>
                <w:b/>
              </w:rPr>
            </w:pPr>
            <w:r w:rsidRPr="00931FB3">
              <w:rPr>
                <w:b/>
              </w:rPr>
              <w:t>Actual</w:t>
            </w:r>
          </w:p>
        </w:tc>
        <w:tc>
          <w:tcPr>
            <w:tcW w:w="1822" w:type="dxa"/>
          </w:tcPr>
          <w:p w:rsidR="004F3510" w:rsidRPr="002A48EA" w:rsidRDefault="004F3510" w:rsidP="004F3510">
            <w:pPr>
              <w:jc w:val="center"/>
              <w:rPr>
                <w:b/>
              </w:rPr>
            </w:pPr>
            <w:r w:rsidRPr="002A48EA">
              <w:rPr>
                <w:b/>
              </w:rPr>
              <w:t>Estimate</w:t>
            </w:r>
          </w:p>
        </w:tc>
        <w:tc>
          <w:tcPr>
            <w:tcW w:w="1821" w:type="dxa"/>
          </w:tcPr>
          <w:p w:rsidR="004F3510" w:rsidRPr="002A48EA" w:rsidRDefault="004F3510" w:rsidP="004F3510">
            <w:pPr>
              <w:jc w:val="center"/>
              <w:rPr>
                <w:b/>
              </w:rPr>
            </w:pPr>
            <w:r w:rsidRPr="002A48EA">
              <w:rPr>
                <w:b/>
              </w:rPr>
              <w:t>Estimate</w:t>
            </w:r>
          </w:p>
        </w:tc>
        <w:tc>
          <w:tcPr>
            <w:tcW w:w="1822" w:type="dxa"/>
          </w:tcPr>
          <w:p w:rsidR="004F3510" w:rsidRPr="002A48EA" w:rsidRDefault="004F3510" w:rsidP="004F3510">
            <w:pPr>
              <w:jc w:val="center"/>
              <w:rPr>
                <w:b/>
              </w:rPr>
            </w:pPr>
            <w:r w:rsidRPr="002A48EA">
              <w:rPr>
                <w:b/>
              </w:rPr>
              <w:t>Estimate</w:t>
            </w:r>
          </w:p>
        </w:tc>
        <w:tc>
          <w:tcPr>
            <w:tcW w:w="1822" w:type="dxa"/>
          </w:tcPr>
          <w:p w:rsidR="004F3510" w:rsidRPr="002A48EA" w:rsidRDefault="004F3510" w:rsidP="004F3510">
            <w:pPr>
              <w:jc w:val="center"/>
              <w:rPr>
                <w:b/>
              </w:rPr>
            </w:pPr>
            <w:r w:rsidRPr="002A48EA">
              <w:rPr>
                <w:b/>
              </w:rPr>
              <w:t>Estimate</w:t>
            </w:r>
          </w:p>
        </w:tc>
      </w:tr>
      <w:tr w:rsidR="004F3510" w:rsidRPr="001143BB" w:rsidTr="00392C2F">
        <w:tc>
          <w:tcPr>
            <w:tcW w:w="1821" w:type="dxa"/>
          </w:tcPr>
          <w:p w:rsidR="004F3510" w:rsidRPr="00931FB3" w:rsidRDefault="004F3510" w:rsidP="00221A79">
            <w:pPr>
              <w:spacing w:after="120"/>
              <w:jc w:val="center"/>
              <w:rPr>
                <w:b/>
              </w:rPr>
            </w:pPr>
            <w:r w:rsidRPr="00931FB3">
              <w:rPr>
                <w:b/>
              </w:rPr>
              <w:t>£</w:t>
            </w:r>
            <w:r w:rsidR="00221A79" w:rsidRPr="00931FB3">
              <w:rPr>
                <w:b/>
              </w:rPr>
              <w:t>m</w:t>
            </w:r>
          </w:p>
        </w:tc>
        <w:tc>
          <w:tcPr>
            <w:tcW w:w="1822" w:type="dxa"/>
          </w:tcPr>
          <w:p w:rsidR="004F3510" w:rsidRPr="002A48EA" w:rsidRDefault="004F3510" w:rsidP="00221A79">
            <w:pPr>
              <w:spacing w:after="120"/>
              <w:jc w:val="center"/>
              <w:rPr>
                <w:b/>
              </w:rPr>
            </w:pPr>
            <w:r w:rsidRPr="002A48EA">
              <w:rPr>
                <w:b/>
              </w:rPr>
              <w:t>£</w:t>
            </w:r>
            <w:r w:rsidR="00221A79" w:rsidRPr="002A48EA">
              <w:rPr>
                <w:b/>
              </w:rPr>
              <w:t>m</w:t>
            </w:r>
          </w:p>
        </w:tc>
        <w:tc>
          <w:tcPr>
            <w:tcW w:w="1821" w:type="dxa"/>
          </w:tcPr>
          <w:p w:rsidR="004F3510" w:rsidRPr="002A48EA" w:rsidRDefault="004F3510" w:rsidP="00221A79">
            <w:pPr>
              <w:spacing w:after="120"/>
              <w:jc w:val="center"/>
              <w:rPr>
                <w:b/>
              </w:rPr>
            </w:pPr>
            <w:r w:rsidRPr="002A48EA">
              <w:rPr>
                <w:b/>
              </w:rPr>
              <w:t>£</w:t>
            </w:r>
            <w:r w:rsidR="00221A79" w:rsidRPr="002A48EA">
              <w:rPr>
                <w:b/>
              </w:rPr>
              <w:t>m</w:t>
            </w:r>
          </w:p>
        </w:tc>
        <w:tc>
          <w:tcPr>
            <w:tcW w:w="1822" w:type="dxa"/>
          </w:tcPr>
          <w:p w:rsidR="004F3510" w:rsidRPr="002A48EA" w:rsidRDefault="004F3510" w:rsidP="00221A79">
            <w:pPr>
              <w:spacing w:after="120"/>
              <w:jc w:val="center"/>
              <w:rPr>
                <w:b/>
              </w:rPr>
            </w:pPr>
            <w:r w:rsidRPr="002A48EA">
              <w:rPr>
                <w:b/>
              </w:rPr>
              <w:t>£</w:t>
            </w:r>
            <w:r w:rsidR="00221A79" w:rsidRPr="002A48EA">
              <w:rPr>
                <w:b/>
              </w:rPr>
              <w:t>m</w:t>
            </w:r>
          </w:p>
        </w:tc>
        <w:tc>
          <w:tcPr>
            <w:tcW w:w="1822" w:type="dxa"/>
          </w:tcPr>
          <w:p w:rsidR="004F3510" w:rsidRPr="002A48EA" w:rsidRDefault="004F3510" w:rsidP="00221A79">
            <w:pPr>
              <w:spacing w:after="120"/>
              <w:jc w:val="center"/>
              <w:rPr>
                <w:b/>
              </w:rPr>
            </w:pPr>
            <w:r w:rsidRPr="002A48EA">
              <w:rPr>
                <w:b/>
              </w:rPr>
              <w:t>£</w:t>
            </w:r>
            <w:r w:rsidR="00221A79" w:rsidRPr="002A48EA">
              <w:rPr>
                <w:b/>
              </w:rPr>
              <w:t>m</w:t>
            </w:r>
          </w:p>
        </w:tc>
      </w:tr>
      <w:tr w:rsidR="004F3510" w:rsidRPr="001143BB" w:rsidTr="00392C2F">
        <w:tc>
          <w:tcPr>
            <w:tcW w:w="1821" w:type="dxa"/>
          </w:tcPr>
          <w:p w:rsidR="004F3510" w:rsidRPr="00931FB3" w:rsidRDefault="00931FB3" w:rsidP="00221A79">
            <w:pPr>
              <w:spacing w:after="240"/>
              <w:jc w:val="center"/>
            </w:pPr>
            <w:r w:rsidRPr="00931FB3">
              <w:t>1,074</w:t>
            </w:r>
            <w:r>
              <w:t>.</w:t>
            </w:r>
            <w:r w:rsidRPr="00931FB3">
              <w:t>218</w:t>
            </w:r>
          </w:p>
        </w:tc>
        <w:tc>
          <w:tcPr>
            <w:tcW w:w="1822" w:type="dxa"/>
          </w:tcPr>
          <w:p w:rsidR="004F3510" w:rsidRPr="002A48EA" w:rsidRDefault="00931FB3" w:rsidP="00221A79">
            <w:pPr>
              <w:spacing w:after="240"/>
              <w:jc w:val="center"/>
            </w:pPr>
            <w:r>
              <w:t>1,038.890</w:t>
            </w:r>
          </w:p>
        </w:tc>
        <w:tc>
          <w:tcPr>
            <w:tcW w:w="1821" w:type="dxa"/>
          </w:tcPr>
          <w:p w:rsidR="004F3510" w:rsidRPr="002A48EA" w:rsidRDefault="00931FB3" w:rsidP="00221A79">
            <w:pPr>
              <w:spacing w:after="240"/>
              <w:jc w:val="center"/>
            </w:pPr>
            <w:r>
              <w:t>1,047.117</w:t>
            </w:r>
          </w:p>
        </w:tc>
        <w:tc>
          <w:tcPr>
            <w:tcW w:w="1822" w:type="dxa"/>
          </w:tcPr>
          <w:p w:rsidR="004F3510" w:rsidRPr="002A48EA" w:rsidRDefault="00931FB3" w:rsidP="00221A79">
            <w:pPr>
              <w:spacing w:after="240"/>
              <w:jc w:val="center"/>
            </w:pPr>
            <w:r>
              <w:t>1,079.298</w:t>
            </w:r>
          </w:p>
        </w:tc>
        <w:tc>
          <w:tcPr>
            <w:tcW w:w="1822" w:type="dxa"/>
          </w:tcPr>
          <w:p w:rsidR="004F3510" w:rsidRPr="002A48EA" w:rsidRDefault="00931FB3" w:rsidP="00221A79">
            <w:pPr>
              <w:spacing w:after="240"/>
              <w:jc w:val="center"/>
            </w:pPr>
            <w:r>
              <w:t>1,071.372</w:t>
            </w:r>
          </w:p>
        </w:tc>
      </w:tr>
    </w:tbl>
    <w:p w:rsidR="004F3510" w:rsidRDefault="004F3510" w:rsidP="00B474FF">
      <w:pPr>
        <w:pStyle w:val="Heading3"/>
        <w:spacing w:after="0"/>
      </w:pPr>
    </w:p>
    <w:p w:rsidR="00B474FF" w:rsidRPr="00B474FF" w:rsidRDefault="00B474FF" w:rsidP="00B474FF"/>
    <w:p w:rsidR="00D71B7D" w:rsidRPr="002A48EA" w:rsidRDefault="00D71B7D" w:rsidP="00B474FF">
      <w:pPr>
        <w:pStyle w:val="Heading3"/>
        <w:numPr>
          <w:ilvl w:val="0"/>
          <w:numId w:val="29"/>
        </w:numPr>
        <w:spacing w:after="0"/>
      </w:pPr>
      <w:r>
        <w:t>Prudence and Affordability</w:t>
      </w:r>
    </w:p>
    <w:p w:rsidR="00D71B7D" w:rsidRPr="00D71B7D" w:rsidRDefault="00D71B7D" w:rsidP="00D71B7D"/>
    <w:p w:rsidR="004F3510" w:rsidRPr="000F049F" w:rsidRDefault="004F3510" w:rsidP="00B474FF">
      <w:pPr>
        <w:jc w:val="both"/>
      </w:pPr>
      <w:r w:rsidRPr="000F049F">
        <w:t>CIPFA's Prudential Code for Capital Finance in Local Authorities states the following as a key indicator of prudence:</w:t>
      </w:r>
    </w:p>
    <w:p w:rsidR="00877552" w:rsidRPr="000F049F" w:rsidRDefault="00877552" w:rsidP="00B474FF">
      <w:pPr>
        <w:jc w:val="both"/>
      </w:pPr>
    </w:p>
    <w:p w:rsidR="004F3510" w:rsidRPr="000F049F" w:rsidRDefault="004F3510" w:rsidP="00B474FF">
      <w:pPr>
        <w:pStyle w:val="BodyTextIndent"/>
        <w:spacing w:after="0"/>
        <w:ind w:left="0"/>
        <w:jc w:val="both"/>
      </w:pPr>
      <w:r w:rsidRPr="000F049F">
        <w:t>"In order to ensure that, over the medium term, net borrowing will only be used for a capital purpose, the local authority should ensure that net external borrowing does not, except in the short term, exceed the total of capital financing requirement in the preceding year, plus the estimates of any additional capital financing requirement for the current and next two financial years."</w:t>
      </w:r>
    </w:p>
    <w:p w:rsidR="00877552" w:rsidRPr="000F049F" w:rsidRDefault="00877552" w:rsidP="00B474FF">
      <w:pPr>
        <w:pStyle w:val="BodyTextIndent"/>
        <w:spacing w:after="0"/>
        <w:ind w:left="0"/>
        <w:jc w:val="both"/>
      </w:pPr>
    </w:p>
    <w:p w:rsidR="004F3510" w:rsidRPr="000F049F" w:rsidRDefault="004F3510" w:rsidP="00B474FF">
      <w:pPr>
        <w:jc w:val="both"/>
      </w:pPr>
      <w:r w:rsidRPr="000F049F">
        <w:t xml:space="preserve">The </w:t>
      </w:r>
      <w:r w:rsidR="00B4481D" w:rsidRPr="000F049F">
        <w:t>Council's financial plans are prepared on this basis and, indeed the policy on borrowing in advance of need explicitly references this statement as part of the decision making criteria.</w:t>
      </w:r>
    </w:p>
    <w:p w:rsidR="00877552" w:rsidRPr="000F049F" w:rsidRDefault="00877552" w:rsidP="00B474FF">
      <w:pPr>
        <w:jc w:val="both"/>
      </w:pPr>
    </w:p>
    <w:p w:rsidR="00877552" w:rsidRPr="000F049F" w:rsidRDefault="004F3510" w:rsidP="00B474FF">
      <w:pPr>
        <w:jc w:val="both"/>
      </w:pPr>
      <w:r w:rsidRPr="000F049F">
        <w:t xml:space="preserve">It is important to ensure that the plans for capital expenditure and borrowing are affordable in the long term.  To this purpose the code requires an indicator which estimates the ratio of financing costs to </w:t>
      </w:r>
      <w:r w:rsidR="007E527B" w:rsidRPr="000F049F">
        <w:t xml:space="preserve">the </w:t>
      </w:r>
      <w:r w:rsidRPr="000F049F">
        <w:t>net revenue stream.</w:t>
      </w:r>
    </w:p>
    <w:p w:rsidR="00877552" w:rsidRPr="000F049F" w:rsidRDefault="00877552" w:rsidP="00B474FF">
      <w:pPr>
        <w:jc w:val="both"/>
      </w:pPr>
    </w:p>
    <w:p w:rsidR="004F3510" w:rsidRDefault="004F3510" w:rsidP="00B474FF">
      <w:pPr>
        <w:jc w:val="both"/>
      </w:pPr>
      <w:r w:rsidRPr="000F049F">
        <w:t>The financing costs are the interest payable on borrowing, finance lease or other long term liabilities and the amount defined by statute which needs to be charged to revenue to reflect the repayment of the principal element of the County Council’s borrowing.  Any additional payments in excess of the statutory amount or the cost of early repayment or rescheduling of debt would be included within the financing cost.  Financing costs are expressed net of investment income.</w:t>
      </w:r>
    </w:p>
    <w:p w:rsidR="00B474FF" w:rsidRPr="000F049F" w:rsidRDefault="00B474FF" w:rsidP="00B474FF">
      <w:pPr>
        <w:jc w:val="both"/>
      </w:pPr>
    </w:p>
    <w:p w:rsidR="004F3510" w:rsidRPr="000F049F" w:rsidRDefault="004F3510" w:rsidP="00B474FF">
      <w:pPr>
        <w:pStyle w:val="BodyTextIndent"/>
        <w:spacing w:after="0"/>
        <w:ind w:left="0"/>
        <w:jc w:val="both"/>
      </w:pPr>
      <w:r w:rsidRPr="000F049F">
        <w:t>The net revenue stream is defined as the amount required to be funded from Government Grants and local taxpayers, in effect the budget requirement.</w:t>
      </w:r>
      <w:r w:rsidR="00B474FF">
        <w:t xml:space="preserve"> </w:t>
      </w:r>
      <w:r w:rsidRPr="000F049F">
        <w:t>Estimates of the ratio of financing costs to net revenue (or budget requirement) are as follows:</w:t>
      </w:r>
    </w:p>
    <w:p w:rsidR="00C2176F" w:rsidRPr="001143BB" w:rsidRDefault="00C2176F" w:rsidP="0087755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2277"/>
        <w:gridCol w:w="2277"/>
        <w:gridCol w:w="2277"/>
      </w:tblGrid>
      <w:tr w:rsidR="004F3510" w:rsidRPr="001143BB" w:rsidTr="00392C2F">
        <w:tc>
          <w:tcPr>
            <w:tcW w:w="2277" w:type="dxa"/>
          </w:tcPr>
          <w:p w:rsidR="004F3510" w:rsidRPr="000B45FB" w:rsidRDefault="004F3510" w:rsidP="000B45FB">
            <w:pPr>
              <w:jc w:val="center"/>
              <w:rPr>
                <w:b/>
              </w:rPr>
            </w:pPr>
            <w:r w:rsidRPr="000B45FB">
              <w:rPr>
                <w:b/>
                <w:caps/>
              </w:rPr>
              <w:t>201</w:t>
            </w:r>
            <w:r w:rsidR="000B45FB" w:rsidRPr="000B45FB">
              <w:rPr>
                <w:b/>
                <w:caps/>
              </w:rPr>
              <w:t>3</w:t>
            </w:r>
            <w:r w:rsidRPr="000B45FB">
              <w:rPr>
                <w:b/>
                <w:caps/>
              </w:rPr>
              <w:t>/1</w:t>
            </w:r>
            <w:r w:rsidR="000B45FB" w:rsidRPr="000B45FB">
              <w:rPr>
                <w:b/>
                <w:caps/>
              </w:rPr>
              <w:t>4</w:t>
            </w:r>
          </w:p>
        </w:tc>
        <w:tc>
          <w:tcPr>
            <w:tcW w:w="2277" w:type="dxa"/>
          </w:tcPr>
          <w:p w:rsidR="004F3510" w:rsidRPr="000B45FB" w:rsidRDefault="004F3510" w:rsidP="004917B9">
            <w:pPr>
              <w:jc w:val="center"/>
              <w:rPr>
                <w:b/>
              </w:rPr>
            </w:pPr>
            <w:r w:rsidRPr="000B45FB">
              <w:rPr>
                <w:b/>
              </w:rPr>
              <w:t>201</w:t>
            </w:r>
            <w:r w:rsidR="004917B9">
              <w:rPr>
                <w:b/>
              </w:rPr>
              <w:t>5</w:t>
            </w:r>
            <w:r w:rsidRPr="000B45FB">
              <w:rPr>
                <w:b/>
              </w:rPr>
              <w:t>/1</w:t>
            </w:r>
            <w:r w:rsidR="004917B9">
              <w:rPr>
                <w:b/>
              </w:rPr>
              <w:t>6</w:t>
            </w:r>
          </w:p>
        </w:tc>
        <w:tc>
          <w:tcPr>
            <w:tcW w:w="2277" w:type="dxa"/>
          </w:tcPr>
          <w:p w:rsidR="004F3510" w:rsidRPr="000B45FB" w:rsidRDefault="004F3510" w:rsidP="004917B9">
            <w:pPr>
              <w:jc w:val="center"/>
              <w:rPr>
                <w:b/>
              </w:rPr>
            </w:pPr>
            <w:r w:rsidRPr="000B45FB">
              <w:rPr>
                <w:b/>
              </w:rPr>
              <w:t>201</w:t>
            </w:r>
            <w:r w:rsidR="004917B9">
              <w:rPr>
                <w:b/>
              </w:rPr>
              <w:t>5</w:t>
            </w:r>
            <w:r w:rsidRPr="000B45FB">
              <w:rPr>
                <w:b/>
              </w:rPr>
              <w:t>/1</w:t>
            </w:r>
            <w:r w:rsidR="004917B9">
              <w:rPr>
                <w:b/>
              </w:rPr>
              <w:t>6</w:t>
            </w:r>
          </w:p>
        </w:tc>
        <w:tc>
          <w:tcPr>
            <w:tcW w:w="2277" w:type="dxa"/>
          </w:tcPr>
          <w:p w:rsidR="004F3510" w:rsidRPr="000B45FB" w:rsidRDefault="004F3510" w:rsidP="004917B9">
            <w:pPr>
              <w:jc w:val="center"/>
              <w:rPr>
                <w:b/>
              </w:rPr>
            </w:pPr>
            <w:r w:rsidRPr="000B45FB">
              <w:rPr>
                <w:b/>
              </w:rPr>
              <w:t>201</w:t>
            </w:r>
            <w:r w:rsidR="004917B9">
              <w:rPr>
                <w:b/>
              </w:rPr>
              <w:t>6</w:t>
            </w:r>
            <w:r w:rsidRPr="000B45FB">
              <w:rPr>
                <w:b/>
              </w:rPr>
              <w:t>/1</w:t>
            </w:r>
            <w:r w:rsidR="004917B9">
              <w:rPr>
                <w:b/>
              </w:rPr>
              <w:t>7</w:t>
            </w:r>
          </w:p>
        </w:tc>
      </w:tr>
      <w:tr w:rsidR="004F3510" w:rsidRPr="001143BB" w:rsidTr="00392C2F">
        <w:tc>
          <w:tcPr>
            <w:tcW w:w="2277" w:type="dxa"/>
          </w:tcPr>
          <w:p w:rsidR="004F3510" w:rsidRPr="000B45FB" w:rsidRDefault="004F3510" w:rsidP="004F3510">
            <w:pPr>
              <w:jc w:val="center"/>
              <w:rPr>
                <w:b/>
              </w:rPr>
            </w:pPr>
            <w:r w:rsidRPr="000B45FB">
              <w:rPr>
                <w:b/>
              </w:rPr>
              <w:t>Estimate</w:t>
            </w:r>
          </w:p>
        </w:tc>
        <w:tc>
          <w:tcPr>
            <w:tcW w:w="2277" w:type="dxa"/>
          </w:tcPr>
          <w:p w:rsidR="004F3510" w:rsidRPr="000B45FB" w:rsidRDefault="004F3510" w:rsidP="004F3510">
            <w:pPr>
              <w:jc w:val="center"/>
              <w:rPr>
                <w:b/>
              </w:rPr>
            </w:pPr>
            <w:r w:rsidRPr="000B45FB">
              <w:rPr>
                <w:b/>
              </w:rPr>
              <w:t>Estimate</w:t>
            </w:r>
          </w:p>
        </w:tc>
        <w:tc>
          <w:tcPr>
            <w:tcW w:w="2277" w:type="dxa"/>
          </w:tcPr>
          <w:p w:rsidR="004F3510" w:rsidRPr="000B45FB" w:rsidRDefault="004F3510" w:rsidP="004F3510">
            <w:pPr>
              <w:jc w:val="center"/>
              <w:rPr>
                <w:b/>
              </w:rPr>
            </w:pPr>
            <w:r w:rsidRPr="000B45FB">
              <w:rPr>
                <w:b/>
              </w:rPr>
              <w:t>Estimate</w:t>
            </w:r>
          </w:p>
        </w:tc>
        <w:tc>
          <w:tcPr>
            <w:tcW w:w="2277" w:type="dxa"/>
          </w:tcPr>
          <w:p w:rsidR="004F3510" w:rsidRPr="000B45FB" w:rsidRDefault="004F3510" w:rsidP="004F3510">
            <w:pPr>
              <w:jc w:val="center"/>
              <w:rPr>
                <w:b/>
              </w:rPr>
            </w:pPr>
            <w:r w:rsidRPr="000B45FB">
              <w:rPr>
                <w:b/>
              </w:rPr>
              <w:t>Estimate</w:t>
            </w:r>
          </w:p>
        </w:tc>
      </w:tr>
      <w:tr w:rsidR="004F3510" w:rsidRPr="001143BB" w:rsidTr="00392C2F">
        <w:tc>
          <w:tcPr>
            <w:tcW w:w="2277" w:type="dxa"/>
          </w:tcPr>
          <w:p w:rsidR="004F3510" w:rsidRPr="000B45FB" w:rsidRDefault="004F3510" w:rsidP="004F3510">
            <w:pPr>
              <w:spacing w:after="120"/>
              <w:jc w:val="center"/>
              <w:rPr>
                <w:b/>
              </w:rPr>
            </w:pPr>
            <w:r w:rsidRPr="000B45FB">
              <w:rPr>
                <w:b/>
              </w:rPr>
              <w:t>%</w:t>
            </w:r>
          </w:p>
        </w:tc>
        <w:tc>
          <w:tcPr>
            <w:tcW w:w="2277" w:type="dxa"/>
          </w:tcPr>
          <w:p w:rsidR="004F3510" w:rsidRPr="000B45FB" w:rsidRDefault="004F3510" w:rsidP="004F3510">
            <w:pPr>
              <w:spacing w:after="120"/>
              <w:jc w:val="center"/>
              <w:rPr>
                <w:b/>
              </w:rPr>
            </w:pPr>
            <w:r w:rsidRPr="000B45FB">
              <w:rPr>
                <w:b/>
              </w:rPr>
              <w:t>%</w:t>
            </w:r>
          </w:p>
        </w:tc>
        <w:tc>
          <w:tcPr>
            <w:tcW w:w="2277" w:type="dxa"/>
          </w:tcPr>
          <w:p w:rsidR="004F3510" w:rsidRPr="000B45FB" w:rsidRDefault="004F3510" w:rsidP="004F3510">
            <w:pPr>
              <w:spacing w:after="120"/>
              <w:jc w:val="center"/>
              <w:rPr>
                <w:b/>
              </w:rPr>
            </w:pPr>
            <w:r w:rsidRPr="000B45FB">
              <w:rPr>
                <w:b/>
              </w:rPr>
              <w:t>%</w:t>
            </w:r>
          </w:p>
        </w:tc>
        <w:tc>
          <w:tcPr>
            <w:tcW w:w="2277" w:type="dxa"/>
          </w:tcPr>
          <w:p w:rsidR="004F3510" w:rsidRPr="000B45FB" w:rsidRDefault="004F3510" w:rsidP="004F3510">
            <w:pPr>
              <w:spacing w:after="120"/>
              <w:jc w:val="center"/>
              <w:rPr>
                <w:b/>
              </w:rPr>
            </w:pPr>
            <w:r w:rsidRPr="000B45FB">
              <w:rPr>
                <w:b/>
              </w:rPr>
              <w:t>%</w:t>
            </w:r>
          </w:p>
        </w:tc>
      </w:tr>
      <w:tr w:rsidR="004F3510" w:rsidRPr="001143BB" w:rsidTr="00392C2F">
        <w:tc>
          <w:tcPr>
            <w:tcW w:w="2277" w:type="dxa"/>
          </w:tcPr>
          <w:p w:rsidR="004F3510" w:rsidRPr="000B45FB" w:rsidRDefault="004917B9" w:rsidP="004F3510">
            <w:pPr>
              <w:spacing w:after="240"/>
              <w:jc w:val="center"/>
            </w:pPr>
            <w:r>
              <w:t>4.92</w:t>
            </w:r>
          </w:p>
        </w:tc>
        <w:tc>
          <w:tcPr>
            <w:tcW w:w="2277" w:type="dxa"/>
          </w:tcPr>
          <w:p w:rsidR="004F3510" w:rsidRPr="000B45FB" w:rsidRDefault="004917B9" w:rsidP="00C6577B">
            <w:pPr>
              <w:spacing w:after="240"/>
              <w:jc w:val="center"/>
            </w:pPr>
            <w:r>
              <w:t>4.67</w:t>
            </w:r>
          </w:p>
        </w:tc>
        <w:tc>
          <w:tcPr>
            <w:tcW w:w="2277" w:type="dxa"/>
          </w:tcPr>
          <w:p w:rsidR="004F3510" w:rsidRPr="000B45FB" w:rsidRDefault="004917B9" w:rsidP="004917B9">
            <w:pPr>
              <w:spacing w:after="240"/>
              <w:jc w:val="center"/>
            </w:pPr>
            <w:r>
              <w:t>5.19</w:t>
            </w:r>
          </w:p>
        </w:tc>
        <w:tc>
          <w:tcPr>
            <w:tcW w:w="2277" w:type="dxa"/>
          </w:tcPr>
          <w:p w:rsidR="004F3510" w:rsidRPr="000B45FB" w:rsidRDefault="004917B9" w:rsidP="004917B9">
            <w:pPr>
              <w:spacing w:after="240"/>
              <w:jc w:val="center"/>
            </w:pPr>
            <w:r>
              <w:t>5.39</w:t>
            </w:r>
          </w:p>
        </w:tc>
      </w:tr>
    </w:tbl>
    <w:p w:rsidR="00B474FF" w:rsidRDefault="00B474FF" w:rsidP="00B474FF">
      <w:pPr>
        <w:pStyle w:val="BodyTextIndent"/>
        <w:spacing w:after="0"/>
        <w:ind w:left="0"/>
      </w:pPr>
    </w:p>
    <w:p w:rsidR="004F3510" w:rsidRDefault="004F3510" w:rsidP="00B474FF">
      <w:pPr>
        <w:pStyle w:val="BodyTextIndent"/>
        <w:spacing w:after="0"/>
        <w:ind w:left="0"/>
        <w:jc w:val="both"/>
      </w:pPr>
      <w:r w:rsidRPr="00B517C2">
        <w:t>The Prudential Code requires the estimated revenue impact of capital investment decisions in Band D Council Tax terms to be calculated.  The figures exclude the borrowing costs required to meet commitments from 201</w:t>
      </w:r>
      <w:r w:rsidR="00451200" w:rsidRPr="00B517C2">
        <w:t>2</w:t>
      </w:r>
      <w:r w:rsidRPr="00B517C2">
        <w:t>/1</w:t>
      </w:r>
      <w:r w:rsidR="00451200" w:rsidRPr="00B517C2">
        <w:t xml:space="preserve">3 </w:t>
      </w:r>
      <w:r w:rsidRPr="00B517C2">
        <w:t>and earlier years</w:t>
      </w:r>
      <w:r w:rsidR="00451200" w:rsidRPr="00B517C2">
        <w:t>'</w:t>
      </w:r>
      <w:r w:rsidRPr="00B517C2">
        <w:t xml:space="preserve"> programmes.  The focus is, therefore, on the costs of future years Capital Programmes.  The above figures are after deducting the estimated support received from the Government via the Revenue Support Grant.</w:t>
      </w:r>
      <w:r w:rsidR="00221A79" w:rsidRPr="00B517C2">
        <w:t xml:space="preserve"> These are as follows:</w:t>
      </w:r>
    </w:p>
    <w:p w:rsidR="00B474FF" w:rsidRPr="00B517C2" w:rsidRDefault="00B474FF" w:rsidP="00B474FF">
      <w:pPr>
        <w:pStyle w:val="BodyTextIndent"/>
        <w:spacing w:after="0"/>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2277"/>
        <w:gridCol w:w="2277"/>
        <w:gridCol w:w="2277"/>
      </w:tblGrid>
      <w:tr w:rsidR="00221A79" w:rsidRPr="00B517C2" w:rsidTr="00392C2F">
        <w:tc>
          <w:tcPr>
            <w:tcW w:w="2277" w:type="dxa"/>
          </w:tcPr>
          <w:p w:rsidR="00221A79" w:rsidRPr="00B517C2" w:rsidRDefault="00221A79" w:rsidP="00B517C2">
            <w:pPr>
              <w:jc w:val="center"/>
              <w:rPr>
                <w:b/>
              </w:rPr>
            </w:pPr>
            <w:r w:rsidRPr="00B517C2">
              <w:rPr>
                <w:b/>
                <w:caps/>
              </w:rPr>
              <w:t>201</w:t>
            </w:r>
            <w:r w:rsidR="00B517C2" w:rsidRPr="00B517C2">
              <w:rPr>
                <w:b/>
                <w:caps/>
              </w:rPr>
              <w:t>3</w:t>
            </w:r>
            <w:r w:rsidRPr="00B517C2">
              <w:rPr>
                <w:b/>
                <w:caps/>
              </w:rPr>
              <w:t>/1</w:t>
            </w:r>
            <w:r w:rsidR="00B517C2" w:rsidRPr="00B517C2">
              <w:rPr>
                <w:b/>
                <w:caps/>
              </w:rPr>
              <w:t>4</w:t>
            </w:r>
          </w:p>
        </w:tc>
        <w:tc>
          <w:tcPr>
            <w:tcW w:w="2277" w:type="dxa"/>
          </w:tcPr>
          <w:p w:rsidR="00221A79" w:rsidRPr="00B517C2" w:rsidRDefault="00221A79" w:rsidP="00B517C2">
            <w:pPr>
              <w:jc w:val="center"/>
              <w:rPr>
                <w:b/>
              </w:rPr>
            </w:pPr>
            <w:r w:rsidRPr="00B517C2">
              <w:rPr>
                <w:b/>
              </w:rPr>
              <w:t>201</w:t>
            </w:r>
            <w:r w:rsidR="00B517C2" w:rsidRPr="00B517C2">
              <w:rPr>
                <w:b/>
              </w:rPr>
              <w:t>4</w:t>
            </w:r>
            <w:r w:rsidRPr="00B517C2">
              <w:rPr>
                <w:b/>
              </w:rPr>
              <w:t>/1</w:t>
            </w:r>
            <w:r w:rsidR="00B517C2" w:rsidRPr="00B517C2">
              <w:rPr>
                <w:b/>
              </w:rPr>
              <w:t>5</w:t>
            </w:r>
          </w:p>
        </w:tc>
        <w:tc>
          <w:tcPr>
            <w:tcW w:w="2277" w:type="dxa"/>
          </w:tcPr>
          <w:p w:rsidR="00221A79" w:rsidRPr="00B517C2" w:rsidRDefault="00221A79" w:rsidP="00B517C2">
            <w:pPr>
              <w:jc w:val="center"/>
              <w:rPr>
                <w:b/>
              </w:rPr>
            </w:pPr>
            <w:r w:rsidRPr="00B517C2">
              <w:rPr>
                <w:b/>
              </w:rPr>
              <w:t>201</w:t>
            </w:r>
            <w:r w:rsidR="00B517C2" w:rsidRPr="00B517C2">
              <w:rPr>
                <w:b/>
              </w:rPr>
              <w:t>5</w:t>
            </w:r>
            <w:r w:rsidRPr="00B517C2">
              <w:rPr>
                <w:b/>
              </w:rPr>
              <w:t>/1</w:t>
            </w:r>
            <w:r w:rsidR="00B517C2" w:rsidRPr="00B517C2">
              <w:rPr>
                <w:b/>
              </w:rPr>
              <w:t>6</w:t>
            </w:r>
          </w:p>
        </w:tc>
        <w:tc>
          <w:tcPr>
            <w:tcW w:w="2277" w:type="dxa"/>
          </w:tcPr>
          <w:p w:rsidR="00221A79" w:rsidRPr="00B517C2" w:rsidRDefault="00221A79" w:rsidP="00B517C2">
            <w:pPr>
              <w:jc w:val="center"/>
              <w:rPr>
                <w:b/>
              </w:rPr>
            </w:pPr>
            <w:r w:rsidRPr="00B517C2">
              <w:rPr>
                <w:b/>
              </w:rPr>
              <w:t>201</w:t>
            </w:r>
            <w:r w:rsidR="00B517C2" w:rsidRPr="00B517C2">
              <w:rPr>
                <w:b/>
              </w:rPr>
              <w:t>6</w:t>
            </w:r>
            <w:r w:rsidRPr="00B517C2">
              <w:rPr>
                <w:b/>
              </w:rPr>
              <w:t>/1</w:t>
            </w:r>
            <w:r w:rsidR="00B517C2" w:rsidRPr="00B517C2">
              <w:rPr>
                <w:b/>
              </w:rPr>
              <w:t>7</w:t>
            </w:r>
          </w:p>
        </w:tc>
      </w:tr>
      <w:tr w:rsidR="00221A79" w:rsidRPr="00B517C2" w:rsidTr="00392C2F">
        <w:tc>
          <w:tcPr>
            <w:tcW w:w="2277" w:type="dxa"/>
          </w:tcPr>
          <w:p w:rsidR="00221A79" w:rsidRPr="00B517C2" w:rsidRDefault="00221A79" w:rsidP="008C3C8B">
            <w:pPr>
              <w:jc w:val="center"/>
              <w:rPr>
                <w:b/>
              </w:rPr>
            </w:pPr>
            <w:r w:rsidRPr="00B517C2">
              <w:rPr>
                <w:b/>
              </w:rPr>
              <w:t>Estimate</w:t>
            </w:r>
          </w:p>
        </w:tc>
        <w:tc>
          <w:tcPr>
            <w:tcW w:w="2277" w:type="dxa"/>
          </w:tcPr>
          <w:p w:rsidR="00221A79" w:rsidRPr="00B517C2" w:rsidRDefault="00221A79" w:rsidP="008C3C8B">
            <w:pPr>
              <w:jc w:val="center"/>
              <w:rPr>
                <w:b/>
              </w:rPr>
            </w:pPr>
            <w:r w:rsidRPr="00B517C2">
              <w:rPr>
                <w:b/>
              </w:rPr>
              <w:t>Estimate</w:t>
            </w:r>
          </w:p>
        </w:tc>
        <w:tc>
          <w:tcPr>
            <w:tcW w:w="2277" w:type="dxa"/>
          </w:tcPr>
          <w:p w:rsidR="00221A79" w:rsidRPr="00B517C2" w:rsidRDefault="00221A79" w:rsidP="008C3C8B">
            <w:pPr>
              <w:jc w:val="center"/>
              <w:rPr>
                <w:b/>
              </w:rPr>
            </w:pPr>
            <w:r w:rsidRPr="00B517C2">
              <w:rPr>
                <w:b/>
              </w:rPr>
              <w:t>Estimate</w:t>
            </w:r>
          </w:p>
        </w:tc>
        <w:tc>
          <w:tcPr>
            <w:tcW w:w="2277" w:type="dxa"/>
          </w:tcPr>
          <w:p w:rsidR="00221A79" w:rsidRPr="00B517C2" w:rsidRDefault="00221A79" w:rsidP="008C3C8B">
            <w:pPr>
              <w:jc w:val="center"/>
              <w:rPr>
                <w:b/>
              </w:rPr>
            </w:pPr>
            <w:r w:rsidRPr="00B517C2">
              <w:rPr>
                <w:b/>
              </w:rPr>
              <w:t>Estimate</w:t>
            </w:r>
          </w:p>
        </w:tc>
      </w:tr>
      <w:tr w:rsidR="00221A79" w:rsidRPr="00B517C2" w:rsidTr="00392C2F">
        <w:tc>
          <w:tcPr>
            <w:tcW w:w="2277" w:type="dxa"/>
          </w:tcPr>
          <w:p w:rsidR="00221A79" w:rsidRPr="00B517C2" w:rsidRDefault="00221A79" w:rsidP="008C3C8B">
            <w:pPr>
              <w:spacing w:after="120"/>
              <w:jc w:val="center"/>
              <w:rPr>
                <w:b/>
              </w:rPr>
            </w:pPr>
            <w:r w:rsidRPr="00B517C2">
              <w:rPr>
                <w:b/>
              </w:rPr>
              <w:t>£</w:t>
            </w:r>
          </w:p>
        </w:tc>
        <w:tc>
          <w:tcPr>
            <w:tcW w:w="2277" w:type="dxa"/>
          </w:tcPr>
          <w:p w:rsidR="00221A79" w:rsidRPr="00B517C2" w:rsidRDefault="00221A79" w:rsidP="008C3C8B">
            <w:pPr>
              <w:spacing w:after="120"/>
              <w:jc w:val="center"/>
              <w:rPr>
                <w:b/>
              </w:rPr>
            </w:pPr>
            <w:r w:rsidRPr="00B517C2">
              <w:rPr>
                <w:b/>
              </w:rPr>
              <w:t>£</w:t>
            </w:r>
          </w:p>
        </w:tc>
        <w:tc>
          <w:tcPr>
            <w:tcW w:w="2277" w:type="dxa"/>
          </w:tcPr>
          <w:p w:rsidR="00221A79" w:rsidRPr="00B517C2" w:rsidRDefault="00221A79" w:rsidP="008C3C8B">
            <w:pPr>
              <w:spacing w:after="120"/>
              <w:jc w:val="center"/>
              <w:rPr>
                <w:b/>
              </w:rPr>
            </w:pPr>
            <w:r w:rsidRPr="00B517C2">
              <w:rPr>
                <w:b/>
              </w:rPr>
              <w:t>£</w:t>
            </w:r>
          </w:p>
        </w:tc>
        <w:tc>
          <w:tcPr>
            <w:tcW w:w="2277" w:type="dxa"/>
          </w:tcPr>
          <w:p w:rsidR="00221A79" w:rsidRPr="00B517C2" w:rsidRDefault="00221A79" w:rsidP="008C3C8B">
            <w:pPr>
              <w:spacing w:after="120"/>
              <w:jc w:val="center"/>
              <w:rPr>
                <w:b/>
              </w:rPr>
            </w:pPr>
            <w:r w:rsidRPr="00B517C2">
              <w:rPr>
                <w:b/>
              </w:rPr>
              <w:t>£</w:t>
            </w:r>
          </w:p>
        </w:tc>
      </w:tr>
      <w:tr w:rsidR="00221A79" w:rsidRPr="00B517C2" w:rsidTr="00392C2F">
        <w:tc>
          <w:tcPr>
            <w:tcW w:w="2277" w:type="dxa"/>
          </w:tcPr>
          <w:p w:rsidR="00221A79" w:rsidRPr="00B517C2" w:rsidRDefault="00B517C2" w:rsidP="008C3C8B">
            <w:pPr>
              <w:spacing w:after="240"/>
              <w:jc w:val="center"/>
            </w:pPr>
            <w:r w:rsidRPr="00B517C2">
              <w:t>34.76</w:t>
            </w:r>
          </w:p>
        </w:tc>
        <w:tc>
          <w:tcPr>
            <w:tcW w:w="2277" w:type="dxa"/>
          </w:tcPr>
          <w:p w:rsidR="00221A79" w:rsidRPr="00B517C2" w:rsidRDefault="00B517C2" w:rsidP="008C3C8B">
            <w:pPr>
              <w:spacing w:after="240"/>
              <w:jc w:val="center"/>
            </w:pPr>
            <w:r w:rsidRPr="00B517C2">
              <w:t>44.80</w:t>
            </w:r>
          </w:p>
        </w:tc>
        <w:tc>
          <w:tcPr>
            <w:tcW w:w="2277" w:type="dxa"/>
          </w:tcPr>
          <w:p w:rsidR="00221A79" w:rsidRPr="00B517C2" w:rsidRDefault="00B517C2" w:rsidP="008C3C8B">
            <w:pPr>
              <w:spacing w:after="240"/>
              <w:jc w:val="center"/>
            </w:pPr>
            <w:r w:rsidRPr="00B517C2">
              <w:t>19.77</w:t>
            </w:r>
          </w:p>
        </w:tc>
        <w:tc>
          <w:tcPr>
            <w:tcW w:w="2277" w:type="dxa"/>
          </w:tcPr>
          <w:p w:rsidR="00221A79" w:rsidRPr="00B517C2" w:rsidRDefault="00B517C2" w:rsidP="008C3C8B">
            <w:pPr>
              <w:spacing w:after="240"/>
              <w:jc w:val="center"/>
            </w:pPr>
            <w:r w:rsidRPr="00B517C2">
              <w:t>25.11</w:t>
            </w:r>
          </w:p>
        </w:tc>
      </w:tr>
    </w:tbl>
    <w:p w:rsidR="004F3510" w:rsidRPr="00B517C2" w:rsidRDefault="004F3510" w:rsidP="00B474FF">
      <w:pPr>
        <w:pStyle w:val="BodyTextIndent"/>
        <w:spacing w:after="0"/>
        <w:ind w:left="0"/>
        <w:jc w:val="both"/>
      </w:pPr>
      <w:r w:rsidRPr="00B517C2">
        <w:t xml:space="preserve">It is important to note that the figures do not represent annual increases in Council Tax.  Both the </w:t>
      </w:r>
      <w:r w:rsidR="00A2024B" w:rsidRPr="00B517C2">
        <w:t>2014</w:t>
      </w:r>
      <w:r w:rsidRPr="00B517C2">
        <w:t>/</w:t>
      </w:r>
      <w:r w:rsidR="00A2024B" w:rsidRPr="00B517C2">
        <w:t xml:space="preserve">15 </w:t>
      </w:r>
      <w:r w:rsidRPr="00B517C2">
        <w:t xml:space="preserve">and </w:t>
      </w:r>
      <w:r w:rsidR="00A2024B" w:rsidRPr="00B517C2">
        <w:t>2015</w:t>
      </w:r>
      <w:r w:rsidRPr="00B517C2">
        <w:t>/</w:t>
      </w:r>
      <w:r w:rsidR="00A2024B" w:rsidRPr="00B517C2">
        <w:t xml:space="preserve">16 </w:t>
      </w:r>
      <w:r w:rsidRPr="00B517C2">
        <w:t xml:space="preserve">figures will include the full year effects of decisions taken in </w:t>
      </w:r>
      <w:r w:rsidR="00A2024B" w:rsidRPr="00B517C2">
        <w:t>2013</w:t>
      </w:r>
      <w:r w:rsidRPr="00B517C2">
        <w:t>/</w:t>
      </w:r>
      <w:r w:rsidR="00A2024B" w:rsidRPr="00B517C2">
        <w:t>14</w:t>
      </w:r>
      <w:r w:rsidRPr="00B517C2">
        <w:t>.  Similarly, all three years include the effect of financing capital expenditure from revenue or internal loans.  Provision for these already exists within the revenue budget.  The estimated effect in Band D Council Tax terms of the net cost of the borrowing is:</w:t>
      </w:r>
    </w:p>
    <w:tbl>
      <w:tblPr>
        <w:tblW w:w="0" w:type="auto"/>
        <w:jc w:val="center"/>
        <w:tblLayout w:type="fixed"/>
        <w:tblLook w:val="0000" w:firstRow="0" w:lastRow="0" w:firstColumn="0" w:lastColumn="0" w:noHBand="0" w:noVBand="0"/>
      </w:tblPr>
      <w:tblGrid>
        <w:gridCol w:w="2346"/>
        <w:gridCol w:w="2346"/>
      </w:tblGrid>
      <w:tr w:rsidR="004F3510" w:rsidRPr="00B517C2" w:rsidTr="004F3510">
        <w:trPr>
          <w:jc w:val="center"/>
        </w:trPr>
        <w:tc>
          <w:tcPr>
            <w:tcW w:w="2346" w:type="dxa"/>
          </w:tcPr>
          <w:p w:rsidR="004F3510" w:rsidRPr="00B517C2" w:rsidRDefault="004F3510" w:rsidP="004F3510">
            <w:pPr>
              <w:spacing w:after="120"/>
              <w:jc w:val="center"/>
              <w:rPr>
                <w:b/>
              </w:rPr>
            </w:pPr>
          </w:p>
        </w:tc>
        <w:tc>
          <w:tcPr>
            <w:tcW w:w="2346" w:type="dxa"/>
          </w:tcPr>
          <w:p w:rsidR="004F3510" w:rsidRPr="00B517C2" w:rsidRDefault="004F3510" w:rsidP="004F3510">
            <w:pPr>
              <w:spacing w:after="120"/>
              <w:jc w:val="center"/>
              <w:rPr>
                <w:b/>
              </w:rPr>
            </w:pPr>
            <w:r w:rsidRPr="00B517C2">
              <w:rPr>
                <w:b/>
              </w:rPr>
              <w:t>£</w:t>
            </w:r>
          </w:p>
        </w:tc>
      </w:tr>
      <w:tr w:rsidR="004F3510" w:rsidRPr="00B517C2" w:rsidTr="004F3510">
        <w:trPr>
          <w:jc w:val="center"/>
        </w:trPr>
        <w:tc>
          <w:tcPr>
            <w:tcW w:w="2346" w:type="dxa"/>
          </w:tcPr>
          <w:p w:rsidR="004F3510" w:rsidRPr="00B517C2" w:rsidRDefault="00A2024B" w:rsidP="00B517C2">
            <w:pPr>
              <w:spacing w:after="120"/>
            </w:pPr>
            <w:r w:rsidRPr="00B517C2">
              <w:t>201</w:t>
            </w:r>
            <w:r w:rsidR="00B517C2" w:rsidRPr="00B517C2">
              <w:t>4</w:t>
            </w:r>
            <w:r w:rsidR="004F3510" w:rsidRPr="00B517C2">
              <w:t>/</w:t>
            </w:r>
            <w:r w:rsidRPr="00B517C2">
              <w:t>1</w:t>
            </w:r>
            <w:r w:rsidR="00B517C2" w:rsidRPr="00B517C2">
              <w:t>5</w:t>
            </w:r>
          </w:p>
        </w:tc>
        <w:tc>
          <w:tcPr>
            <w:tcW w:w="2346" w:type="dxa"/>
          </w:tcPr>
          <w:p w:rsidR="004F3510" w:rsidRPr="00B517C2" w:rsidRDefault="00B517C2" w:rsidP="004F3510">
            <w:pPr>
              <w:spacing w:after="120"/>
              <w:jc w:val="center"/>
            </w:pPr>
            <w:r w:rsidRPr="00B517C2">
              <w:t>2.94</w:t>
            </w:r>
          </w:p>
        </w:tc>
      </w:tr>
      <w:tr w:rsidR="004F3510" w:rsidRPr="001143BB" w:rsidTr="004F3510">
        <w:trPr>
          <w:jc w:val="center"/>
        </w:trPr>
        <w:tc>
          <w:tcPr>
            <w:tcW w:w="2346" w:type="dxa"/>
          </w:tcPr>
          <w:p w:rsidR="004F3510" w:rsidRPr="00B517C2" w:rsidRDefault="00B517C2" w:rsidP="004F3510">
            <w:pPr>
              <w:spacing w:after="120"/>
            </w:pPr>
            <w:r w:rsidRPr="00B517C2">
              <w:t>2015/16</w:t>
            </w:r>
          </w:p>
          <w:p w:rsidR="004F3510" w:rsidRPr="00B517C2" w:rsidRDefault="00B517C2" w:rsidP="00A2024B">
            <w:pPr>
              <w:spacing w:after="120"/>
            </w:pPr>
            <w:r w:rsidRPr="00B517C2">
              <w:t>2016/17</w:t>
            </w:r>
          </w:p>
        </w:tc>
        <w:tc>
          <w:tcPr>
            <w:tcW w:w="2346" w:type="dxa"/>
          </w:tcPr>
          <w:p w:rsidR="004F3510" w:rsidRPr="00B517C2" w:rsidRDefault="00B517C2" w:rsidP="004F3510">
            <w:pPr>
              <w:spacing w:after="120"/>
              <w:jc w:val="center"/>
            </w:pPr>
            <w:r w:rsidRPr="00B517C2">
              <w:t>15.18</w:t>
            </w:r>
          </w:p>
          <w:p w:rsidR="004F3510" w:rsidRPr="00B517C2" w:rsidRDefault="00B517C2" w:rsidP="004F3510">
            <w:pPr>
              <w:spacing w:after="120"/>
              <w:jc w:val="center"/>
            </w:pPr>
            <w:r w:rsidRPr="00B517C2">
              <w:t>24.42</w:t>
            </w:r>
          </w:p>
        </w:tc>
      </w:tr>
    </w:tbl>
    <w:p w:rsidR="00D71B7D" w:rsidRPr="002A48EA" w:rsidRDefault="00D71B7D" w:rsidP="00B474FF">
      <w:pPr>
        <w:pStyle w:val="Heading3"/>
        <w:spacing w:after="0"/>
        <w:ind w:left="360"/>
      </w:pPr>
      <w:r w:rsidRPr="00B517C2" w:rsidDel="00D71B7D">
        <w:t xml:space="preserve"> </w:t>
      </w:r>
      <w:r w:rsidRPr="00B517C2">
        <w:t>(d) Prudence</w:t>
      </w:r>
      <w:r>
        <w:t xml:space="preserve"> and Affordability</w:t>
      </w:r>
    </w:p>
    <w:p w:rsidR="00D71B7D" w:rsidRPr="00D71B7D" w:rsidRDefault="00D71B7D" w:rsidP="00D71B7D"/>
    <w:p w:rsidR="004F3510" w:rsidRPr="005A1A62" w:rsidRDefault="004F3510" w:rsidP="00B474FF">
      <w:pPr>
        <w:jc w:val="both"/>
      </w:pPr>
      <w:r w:rsidRPr="005A1A62">
        <w:t xml:space="preserve">The County Council is required to approve an “authorised limit” and an “operational boundary” for external debt.  The limits proposed are consistent with the proposals for capital investment and with the approved treasury management policy statement and practices.  </w:t>
      </w:r>
      <w:r w:rsidR="00451200" w:rsidRPr="005A1A62">
        <w:t>The limits also include provision for the</w:t>
      </w:r>
      <w:r w:rsidR="004B2FE8" w:rsidRPr="005A1A62">
        <w:t xml:space="preserve"> £150m cap on the</w:t>
      </w:r>
      <w:r w:rsidR="00451200" w:rsidRPr="005A1A62">
        <w:t xml:space="preserve"> shared investment scheme</w:t>
      </w:r>
      <w:r w:rsidR="004B2FE8" w:rsidRPr="005A1A62">
        <w:t xml:space="preserve">. </w:t>
      </w:r>
      <w:r w:rsidRPr="005A1A62">
        <w:t>The indicators are split between borrowing and other long term liabilities, such as PFI projects</w:t>
      </w:r>
      <w:r w:rsidR="008E41F9" w:rsidRPr="005A1A62">
        <w:t>.</w:t>
      </w:r>
      <w:r w:rsidRPr="005A1A62">
        <w:t xml:space="preserve">  It is, therefore, proposed to set a limit for the County Treasurer to work within.</w:t>
      </w:r>
    </w:p>
    <w:p w:rsidR="00877552" w:rsidRPr="005A1A62" w:rsidRDefault="00877552" w:rsidP="00877552"/>
    <w:p w:rsidR="004F3510" w:rsidRPr="005A1A62" w:rsidRDefault="004F3510" w:rsidP="00B474FF">
      <w:pPr>
        <w:jc w:val="both"/>
      </w:pPr>
      <w:r w:rsidRPr="005A1A62">
        <w:t xml:space="preserve">The authorised limit is a prudent estimate of external debt, which does not reflect the worst case scenario, but allows sufficient headroom for unusual cash flow movements.  After taking into account the capital plans and estimates of </w:t>
      </w:r>
      <w:r w:rsidR="00221A79" w:rsidRPr="005A1A62">
        <w:t>cash flow</w:t>
      </w:r>
      <w:r w:rsidRPr="005A1A62">
        <w:t xml:space="preserve"> and its risks, the proposed authorised limits for external debt are:</w:t>
      </w:r>
    </w:p>
    <w:p w:rsidR="00877552" w:rsidRPr="005A1A62" w:rsidRDefault="00877552" w:rsidP="008775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1553"/>
        <w:gridCol w:w="1552"/>
        <w:gridCol w:w="1553"/>
      </w:tblGrid>
      <w:tr w:rsidR="004F3510" w:rsidRPr="005A1A62" w:rsidTr="00025990">
        <w:tc>
          <w:tcPr>
            <w:tcW w:w="2988" w:type="dxa"/>
          </w:tcPr>
          <w:p w:rsidR="004F3510" w:rsidRPr="005A1A62" w:rsidRDefault="004F3510" w:rsidP="004F3510"/>
        </w:tc>
        <w:tc>
          <w:tcPr>
            <w:tcW w:w="1553" w:type="dxa"/>
          </w:tcPr>
          <w:p w:rsidR="005A1A62" w:rsidRPr="005A1A62" w:rsidRDefault="004F3510" w:rsidP="005A1A62">
            <w:pPr>
              <w:jc w:val="center"/>
              <w:rPr>
                <w:b/>
              </w:rPr>
            </w:pPr>
            <w:r w:rsidRPr="005A1A62">
              <w:rPr>
                <w:b/>
              </w:rPr>
              <w:t>201</w:t>
            </w:r>
            <w:r w:rsidR="005A1A62" w:rsidRPr="005A1A62">
              <w:rPr>
                <w:b/>
              </w:rPr>
              <w:t>3</w:t>
            </w:r>
            <w:r w:rsidRPr="005A1A62">
              <w:rPr>
                <w:b/>
              </w:rPr>
              <w:t>/1</w:t>
            </w:r>
            <w:r w:rsidR="005A1A62" w:rsidRPr="005A1A62">
              <w:rPr>
                <w:b/>
              </w:rPr>
              <w:t>4</w:t>
            </w:r>
          </w:p>
          <w:p w:rsidR="004F3510" w:rsidRPr="005A1A62" w:rsidRDefault="00B224F9" w:rsidP="005A1A62">
            <w:pPr>
              <w:jc w:val="center"/>
              <w:rPr>
                <w:b/>
              </w:rPr>
            </w:pPr>
            <w:r w:rsidRPr="005A1A62">
              <w:rPr>
                <w:b/>
              </w:rPr>
              <w:t>Revised</w:t>
            </w:r>
          </w:p>
        </w:tc>
        <w:tc>
          <w:tcPr>
            <w:tcW w:w="1553" w:type="dxa"/>
          </w:tcPr>
          <w:p w:rsidR="004F3510" w:rsidRPr="005A1A62" w:rsidRDefault="004F3510" w:rsidP="005A1A62">
            <w:pPr>
              <w:jc w:val="center"/>
              <w:rPr>
                <w:b/>
              </w:rPr>
            </w:pPr>
            <w:r w:rsidRPr="005A1A62">
              <w:rPr>
                <w:b/>
              </w:rPr>
              <w:t>201</w:t>
            </w:r>
            <w:r w:rsidR="005A1A62" w:rsidRPr="005A1A62">
              <w:rPr>
                <w:b/>
              </w:rPr>
              <w:t>4</w:t>
            </w:r>
            <w:r w:rsidRPr="005A1A62">
              <w:rPr>
                <w:b/>
              </w:rPr>
              <w:t>/1</w:t>
            </w:r>
            <w:r w:rsidR="005A1A62" w:rsidRPr="005A1A62">
              <w:rPr>
                <w:b/>
              </w:rPr>
              <w:t>5</w:t>
            </w:r>
          </w:p>
        </w:tc>
        <w:tc>
          <w:tcPr>
            <w:tcW w:w="1552" w:type="dxa"/>
          </w:tcPr>
          <w:p w:rsidR="004F3510" w:rsidRPr="005A1A62" w:rsidRDefault="004F3510" w:rsidP="005A1A62">
            <w:pPr>
              <w:jc w:val="center"/>
              <w:rPr>
                <w:b/>
              </w:rPr>
            </w:pPr>
            <w:r w:rsidRPr="005A1A62">
              <w:rPr>
                <w:b/>
              </w:rPr>
              <w:t>201</w:t>
            </w:r>
            <w:r w:rsidR="005A1A62" w:rsidRPr="005A1A62">
              <w:rPr>
                <w:b/>
              </w:rPr>
              <w:t>5</w:t>
            </w:r>
            <w:r w:rsidRPr="005A1A62">
              <w:rPr>
                <w:b/>
              </w:rPr>
              <w:t>/1</w:t>
            </w:r>
            <w:r w:rsidR="005A1A62" w:rsidRPr="005A1A62">
              <w:rPr>
                <w:b/>
              </w:rPr>
              <w:t>6</w:t>
            </w:r>
          </w:p>
        </w:tc>
        <w:tc>
          <w:tcPr>
            <w:tcW w:w="1553" w:type="dxa"/>
          </w:tcPr>
          <w:p w:rsidR="004F3510" w:rsidRPr="005A1A62" w:rsidRDefault="004F3510" w:rsidP="005A1A62">
            <w:pPr>
              <w:jc w:val="center"/>
              <w:rPr>
                <w:b/>
              </w:rPr>
            </w:pPr>
            <w:r w:rsidRPr="005A1A62">
              <w:rPr>
                <w:b/>
              </w:rPr>
              <w:t>201</w:t>
            </w:r>
            <w:r w:rsidR="005A1A62" w:rsidRPr="005A1A62">
              <w:rPr>
                <w:b/>
              </w:rPr>
              <w:t>6</w:t>
            </w:r>
            <w:r w:rsidRPr="005A1A62">
              <w:rPr>
                <w:b/>
              </w:rPr>
              <w:t>/1</w:t>
            </w:r>
            <w:r w:rsidR="005A1A62" w:rsidRPr="005A1A62">
              <w:rPr>
                <w:b/>
              </w:rPr>
              <w:t>7</w:t>
            </w:r>
          </w:p>
        </w:tc>
      </w:tr>
      <w:tr w:rsidR="004F3510" w:rsidRPr="005A1A62" w:rsidTr="00025990">
        <w:tc>
          <w:tcPr>
            <w:tcW w:w="2988" w:type="dxa"/>
          </w:tcPr>
          <w:p w:rsidR="004F3510" w:rsidRPr="005A1A62" w:rsidRDefault="004F3510" w:rsidP="004F3510">
            <w:pPr>
              <w:pStyle w:val="Header"/>
              <w:spacing w:after="120"/>
            </w:pPr>
          </w:p>
        </w:tc>
        <w:tc>
          <w:tcPr>
            <w:tcW w:w="1553" w:type="dxa"/>
          </w:tcPr>
          <w:p w:rsidR="004F3510" w:rsidRPr="005A1A62" w:rsidRDefault="004F3510" w:rsidP="00B00F15">
            <w:pPr>
              <w:spacing w:after="120"/>
              <w:jc w:val="center"/>
              <w:rPr>
                <w:b/>
              </w:rPr>
            </w:pPr>
            <w:r w:rsidRPr="005A1A62">
              <w:rPr>
                <w:b/>
              </w:rPr>
              <w:t>£</w:t>
            </w:r>
            <w:r w:rsidR="00B00F15" w:rsidRPr="005A1A62">
              <w:rPr>
                <w:b/>
              </w:rPr>
              <w:t>m</w:t>
            </w:r>
          </w:p>
        </w:tc>
        <w:tc>
          <w:tcPr>
            <w:tcW w:w="1553" w:type="dxa"/>
          </w:tcPr>
          <w:p w:rsidR="004F3510" w:rsidRPr="005A1A62" w:rsidRDefault="004F3510" w:rsidP="00B00F15">
            <w:pPr>
              <w:spacing w:after="120"/>
              <w:jc w:val="center"/>
              <w:rPr>
                <w:b/>
              </w:rPr>
            </w:pPr>
            <w:r w:rsidRPr="005A1A62">
              <w:rPr>
                <w:b/>
              </w:rPr>
              <w:t>£</w:t>
            </w:r>
            <w:r w:rsidR="00B00F15" w:rsidRPr="005A1A62">
              <w:rPr>
                <w:b/>
              </w:rPr>
              <w:t>m</w:t>
            </w:r>
          </w:p>
        </w:tc>
        <w:tc>
          <w:tcPr>
            <w:tcW w:w="1552" w:type="dxa"/>
          </w:tcPr>
          <w:p w:rsidR="004F3510" w:rsidRPr="005A1A62" w:rsidRDefault="004F3510" w:rsidP="00B00F15">
            <w:pPr>
              <w:spacing w:after="120"/>
              <w:jc w:val="center"/>
              <w:rPr>
                <w:b/>
              </w:rPr>
            </w:pPr>
            <w:r w:rsidRPr="005A1A62">
              <w:rPr>
                <w:b/>
              </w:rPr>
              <w:t>£</w:t>
            </w:r>
            <w:r w:rsidR="00B00F15" w:rsidRPr="005A1A62">
              <w:rPr>
                <w:b/>
              </w:rPr>
              <w:t>m</w:t>
            </w:r>
          </w:p>
        </w:tc>
        <w:tc>
          <w:tcPr>
            <w:tcW w:w="1553" w:type="dxa"/>
          </w:tcPr>
          <w:p w:rsidR="004F3510" w:rsidRPr="005A1A62" w:rsidRDefault="004F3510" w:rsidP="00B00F15">
            <w:pPr>
              <w:spacing w:after="120"/>
              <w:jc w:val="center"/>
              <w:rPr>
                <w:b/>
              </w:rPr>
            </w:pPr>
            <w:r w:rsidRPr="005A1A62">
              <w:rPr>
                <w:b/>
              </w:rPr>
              <w:t>£</w:t>
            </w:r>
            <w:r w:rsidR="00B00F15" w:rsidRPr="005A1A62">
              <w:rPr>
                <w:b/>
              </w:rPr>
              <w:t>m</w:t>
            </w:r>
          </w:p>
        </w:tc>
      </w:tr>
      <w:tr w:rsidR="004F3510" w:rsidRPr="005A1A62" w:rsidTr="00025990">
        <w:tc>
          <w:tcPr>
            <w:tcW w:w="2988" w:type="dxa"/>
          </w:tcPr>
          <w:p w:rsidR="004F3510" w:rsidRPr="005A1A62" w:rsidRDefault="004F3510" w:rsidP="004F3510">
            <w:r w:rsidRPr="005A1A62">
              <w:t>Borrowing</w:t>
            </w:r>
          </w:p>
        </w:tc>
        <w:tc>
          <w:tcPr>
            <w:tcW w:w="1553" w:type="dxa"/>
          </w:tcPr>
          <w:p w:rsidR="004F3510" w:rsidRPr="005A1A62" w:rsidRDefault="005A1A62" w:rsidP="00741879">
            <w:pPr>
              <w:tabs>
                <w:tab w:val="decimal" w:pos="1062"/>
              </w:tabs>
            </w:pPr>
            <w:r w:rsidRPr="005A1A62">
              <w:t>891</w:t>
            </w:r>
            <w:r w:rsidR="00741879">
              <w:t>.</w:t>
            </w:r>
            <w:r w:rsidR="00931FB3">
              <w:t>000</w:t>
            </w:r>
          </w:p>
        </w:tc>
        <w:tc>
          <w:tcPr>
            <w:tcW w:w="1553" w:type="dxa"/>
          </w:tcPr>
          <w:p w:rsidR="004F3510" w:rsidRPr="005A1A62" w:rsidRDefault="00CC1F70" w:rsidP="00741879">
            <w:pPr>
              <w:tabs>
                <w:tab w:val="decimal" w:pos="1062"/>
              </w:tabs>
            </w:pPr>
            <w:r>
              <w:t>960</w:t>
            </w:r>
            <w:r w:rsidR="00741879">
              <w:t>.</w:t>
            </w:r>
            <w:r w:rsidR="00931FB3">
              <w:t>000</w:t>
            </w:r>
          </w:p>
        </w:tc>
        <w:tc>
          <w:tcPr>
            <w:tcW w:w="1552" w:type="dxa"/>
          </w:tcPr>
          <w:p w:rsidR="004F3510" w:rsidRPr="005A1A62" w:rsidRDefault="00CC1F70" w:rsidP="00741879">
            <w:pPr>
              <w:tabs>
                <w:tab w:val="decimal" w:pos="1062"/>
              </w:tabs>
            </w:pPr>
            <w:r>
              <w:t>985</w:t>
            </w:r>
            <w:r w:rsidR="00741879">
              <w:t>.</w:t>
            </w:r>
            <w:r w:rsidR="00931FB3">
              <w:t>000</w:t>
            </w:r>
          </w:p>
        </w:tc>
        <w:tc>
          <w:tcPr>
            <w:tcW w:w="1553" w:type="dxa"/>
          </w:tcPr>
          <w:p w:rsidR="004F3510" w:rsidRPr="005A1A62" w:rsidRDefault="00CC1F70" w:rsidP="00741879">
            <w:pPr>
              <w:tabs>
                <w:tab w:val="decimal" w:pos="1062"/>
              </w:tabs>
            </w:pPr>
            <w:r>
              <w:t>987</w:t>
            </w:r>
            <w:r w:rsidR="00741879">
              <w:t>.</w:t>
            </w:r>
            <w:r w:rsidR="00931FB3">
              <w:t>000</w:t>
            </w:r>
          </w:p>
        </w:tc>
      </w:tr>
      <w:tr w:rsidR="004F3510" w:rsidRPr="005A1A62" w:rsidTr="00025990">
        <w:tc>
          <w:tcPr>
            <w:tcW w:w="2988" w:type="dxa"/>
          </w:tcPr>
          <w:p w:rsidR="004F3510" w:rsidRPr="005A1A62" w:rsidRDefault="004F3510" w:rsidP="004F3510">
            <w:pPr>
              <w:spacing w:after="240"/>
            </w:pPr>
            <w:r w:rsidRPr="005A1A62">
              <w:t>Other long term liabilities</w:t>
            </w:r>
          </w:p>
        </w:tc>
        <w:tc>
          <w:tcPr>
            <w:tcW w:w="1553" w:type="dxa"/>
          </w:tcPr>
          <w:p w:rsidR="004F3510" w:rsidRPr="005A1A62" w:rsidRDefault="00EB5E83" w:rsidP="00741879">
            <w:pPr>
              <w:tabs>
                <w:tab w:val="decimal" w:pos="1062"/>
              </w:tabs>
              <w:spacing w:after="240"/>
            </w:pPr>
            <w:r w:rsidRPr="005A1A62">
              <w:t>500</w:t>
            </w:r>
            <w:r w:rsidR="00741879">
              <w:t>.</w:t>
            </w:r>
            <w:r w:rsidR="00931FB3">
              <w:t>000</w:t>
            </w:r>
          </w:p>
        </w:tc>
        <w:tc>
          <w:tcPr>
            <w:tcW w:w="1553" w:type="dxa"/>
          </w:tcPr>
          <w:p w:rsidR="004F3510" w:rsidRPr="005A1A62" w:rsidRDefault="005A1A62" w:rsidP="00741879">
            <w:pPr>
              <w:tabs>
                <w:tab w:val="decimal" w:pos="1062"/>
              </w:tabs>
              <w:spacing w:after="240"/>
            </w:pPr>
            <w:r w:rsidRPr="005A1A62">
              <w:t>490</w:t>
            </w:r>
            <w:r w:rsidR="00741879">
              <w:t>.</w:t>
            </w:r>
            <w:r w:rsidR="00931FB3">
              <w:t>000</w:t>
            </w:r>
          </w:p>
        </w:tc>
        <w:tc>
          <w:tcPr>
            <w:tcW w:w="1552" w:type="dxa"/>
          </w:tcPr>
          <w:p w:rsidR="004F3510" w:rsidRPr="005A1A62" w:rsidRDefault="005A1A62" w:rsidP="00741879">
            <w:pPr>
              <w:tabs>
                <w:tab w:val="decimal" w:pos="1062"/>
              </w:tabs>
              <w:spacing w:after="240"/>
            </w:pPr>
            <w:r w:rsidRPr="005A1A62">
              <w:t>480</w:t>
            </w:r>
            <w:r w:rsidR="00741879">
              <w:t>.</w:t>
            </w:r>
            <w:r w:rsidR="00931FB3">
              <w:t>000</w:t>
            </w:r>
          </w:p>
        </w:tc>
        <w:tc>
          <w:tcPr>
            <w:tcW w:w="1553" w:type="dxa"/>
          </w:tcPr>
          <w:p w:rsidR="004F3510" w:rsidRPr="005A1A62" w:rsidRDefault="005A1A62" w:rsidP="00741879">
            <w:pPr>
              <w:tabs>
                <w:tab w:val="decimal" w:pos="1062"/>
              </w:tabs>
              <w:spacing w:after="240"/>
            </w:pPr>
            <w:r w:rsidRPr="005A1A62">
              <w:t>470</w:t>
            </w:r>
            <w:r w:rsidR="00741879">
              <w:t>.</w:t>
            </w:r>
            <w:r w:rsidR="00931FB3">
              <w:t>000</w:t>
            </w:r>
          </w:p>
        </w:tc>
      </w:tr>
    </w:tbl>
    <w:p w:rsidR="00B474FF" w:rsidRDefault="00B474FF" w:rsidP="00B474FF"/>
    <w:p w:rsidR="00B474FF" w:rsidRDefault="004F3510" w:rsidP="00B474FF">
      <w:pPr>
        <w:jc w:val="both"/>
      </w:pPr>
      <w:r w:rsidRPr="005A1A62">
        <w:t>The proposed operational boundary for external debt is based on the same estimates as the authorised limit.  However, although it reflects a prudent estimate of debt, there is no provision for unusual cash flow movements.  In effect, it represents the estimated maximum external debt arising as a consequence of the C</w:t>
      </w:r>
      <w:r w:rsidR="004A3F15">
        <w:t xml:space="preserve">ounty Council's current plans. </w:t>
      </w:r>
      <w:r w:rsidRPr="005A1A62">
        <w:t>As required under the Code, this limit will be carefu</w:t>
      </w:r>
      <w:r w:rsidR="004A3F15">
        <w:t xml:space="preserve">lly monitored during the year. </w:t>
      </w:r>
      <w:r w:rsidRPr="005A1A62">
        <w:t>The proposed operational boundary for external debt is:</w:t>
      </w:r>
    </w:p>
    <w:p w:rsidR="004A3F15" w:rsidRPr="005A1A62" w:rsidRDefault="004A3F15" w:rsidP="00B474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2"/>
        <w:gridCol w:w="1553"/>
        <w:gridCol w:w="1552"/>
        <w:gridCol w:w="1553"/>
      </w:tblGrid>
      <w:tr w:rsidR="004F3510" w:rsidRPr="00F32DDB" w:rsidTr="00025990">
        <w:tc>
          <w:tcPr>
            <w:tcW w:w="2988" w:type="dxa"/>
          </w:tcPr>
          <w:p w:rsidR="004F3510" w:rsidRPr="00F32DDB" w:rsidRDefault="004F3510" w:rsidP="004F3510"/>
        </w:tc>
        <w:tc>
          <w:tcPr>
            <w:tcW w:w="1552" w:type="dxa"/>
          </w:tcPr>
          <w:p w:rsidR="004F3510" w:rsidRPr="00F32DDB" w:rsidRDefault="00C96993" w:rsidP="00C96993">
            <w:pPr>
              <w:jc w:val="center"/>
              <w:rPr>
                <w:b/>
              </w:rPr>
            </w:pPr>
            <w:r w:rsidRPr="00F32DDB">
              <w:rPr>
                <w:b/>
              </w:rPr>
              <w:t>201</w:t>
            </w:r>
            <w:r w:rsidR="005A1A62" w:rsidRPr="00F32DDB">
              <w:rPr>
                <w:b/>
              </w:rPr>
              <w:t>3</w:t>
            </w:r>
            <w:r w:rsidR="004F3510" w:rsidRPr="00F32DDB">
              <w:rPr>
                <w:b/>
              </w:rPr>
              <w:t>/</w:t>
            </w:r>
            <w:r w:rsidRPr="00F32DDB">
              <w:rPr>
                <w:b/>
              </w:rPr>
              <w:t>1</w:t>
            </w:r>
            <w:r w:rsidR="005A1A62" w:rsidRPr="00F32DDB">
              <w:rPr>
                <w:b/>
              </w:rPr>
              <w:t>4</w:t>
            </w:r>
          </w:p>
          <w:p w:rsidR="00B224F9" w:rsidRPr="00F32DDB" w:rsidRDefault="00B224F9" w:rsidP="00C96993">
            <w:pPr>
              <w:jc w:val="center"/>
              <w:rPr>
                <w:b/>
              </w:rPr>
            </w:pPr>
            <w:r w:rsidRPr="00F32DDB">
              <w:rPr>
                <w:b/>
              </w:rPr>
              <w:t>Revised</w:t>
            </w:r>
          </w:p>
        </w:tc>
        <w:tc>
          <w:tcPr>
            <w:tcW w:w="1553" w:type="dxa"/>
          </w:tcPr>
          <w:p w:rsidR="004F3510" w:rsidRPr="00F32DDB" w:rsidRDefault="00A2720C" w:rsidP="005A1A62">
            <w:pPr>
              <w:jc w:val="center"/>
              <w:rPr>
                <w:b/>
              </w:rPr>
            </w:pPr>
            <w:r w:rsidRPr="00F32DDB">
              <w:rPr>
                <w:b/>
              </w:rPr>
              <w:t>201</w:t>
            </w:r>
            <w:r w:rsidR="005A1A62" w:rsidRPr="00F32DDB">
              <w:rPr>
                <w:b/>
              </w:rPr>
              <w:t>4</w:t>
            </w:r>
            <w:r w:rsidR="004F3510" w:rsidRPr="00F32DDB">
              <w:rPr>
                <w:b/>
              </w:rPr>
              <w:t>/</w:t>
            </w:r>
            <w:r w:rsidRPr="00F32DDB">
              <w:rPr>
                <w:b/>
              </w:rPr>
              <w:t>1</w:t>
            </w:r>
            <w:r w:rsidR="005A1A62" w:rsidRPr="00F32DDB">
              <w:rPr>
                <w:b/>
              </w:rPr>
              <w:t>5</w:t>
            </w:r>
          </w:p>
        </w:tc>
        <w:tc>
          <w:tcPr>
            <w:tcW w:w="1552" w:type="dxa"/>
          </w:tcPr>
          <w:p w:rsidR="004F3510" w:rsidRPr="00F32DDB" w:rsidRDefault="00A2720C" w:rsidP="005A1A62">
            <w:pPr>
              <w:jc w:val="center"/>
              <w:rPr>
                <w:b/>
              </w:rPr>
            </w:pPr>
            <w:r w:rsidRPr="00F32DDB">
              <w:rPr>
                <w:b/>
              </w:rPr>
              <w:t>201</w:t>
            </w:r>
            <w:r w:rsidR="005A1A62" w:rsidRPr="00F32DDB">
              <w:rPr>
                <w:b/>
              </w:rPr>
              <w:t>5</w:t>
            </w:r>
            <w:r w:rsidR="004F3510" w:rsidRPr="00F32DDB">
              <w:rPr>
                <w:b/>
              </w:rPr>
              <w:t>/</w:t>
            </w:r>
            <w:r w:rsidRPr="00F32DDB">
              <w:rPr>
                <w:b/>
              </w:rPr>
              <w:t>1</w:t>
            </w:r>
            <w:r w:rsidR="005A1A62" w:rsidRPr="00F32DDB">
              <w:rPr>
                <w:b/>
              </w:rPr>
              <w:t>6</w:t>
            </w:r>
          </w:p>
        </w:tc>
        <w:tc>
          <w:tcPr>
            <w:tcW w:w="1553" w:type="dxa"/>
          </w:tcPr>
          <w:p w:rsidR="004F3510" w:rsidRPr="00F32DDB" w:rsidRDefault="00A2720C" w:rsidP="005A1A62">
            <w:pPr>
              <w:jc w:val="center"/>
              <w:rPr>
                <w:b/>
              </w:rPr>
            </w:pPr>
            <w:r w:rsidRPr="00F32DDB">
              <w:rPr>
                <w:b/>
              </w:rPr>
              <w:t>201</w:t>
            </w:r>
            <w:r w:rsidR="005A1A62" w:rsidRPr="00F32DDB">
              <w:rPr>
                <w:b/>
              </w:rPr>
              <w:t>6</w:t>
            </w:r>
            <w:r w:rsidR="004F3510" w:rsidRPr="00F32DDB">
              <w:rPr>
                <w:b/>
              </w:rPr>
              <w:t>/</w:t>
            </w:r>
            <w:r w:rsidRPr="00F32DDB">
              <w:rPr>
                <w:b/>
              </w:rPr>
              <w:t>1</w:t>
            </w:r>
            <w:r w:rsidR="005A1A62" w:rsidRPr="00F32DDB">
              <w:rPr>
                <w:b/>
              </w:rPr>
              <w:t>7</w:t>
            </w:r>
          </w:p>
        </w:tc>
      </w:tr>
      <w:tr w:rsidR="004F3510" w:rsidRPr="00F32DDB" w:rsidTr="009214FB">
        <w:trPr>
          <w:trHeight w:val="570"/>
        </w:trPr>
        <w:tc>
          <w:tcPr>
            <w:tcW w:w="2988" w:type="dxa"/>
          </w:tcPr>
          <w:p w:rsidR="004F3510" w:rsidRPr="00F32DDB" w:rsidRDefault="004F3510" w:rsidP="004F3510">
            <w:pPr>
              <w:spacing w:after="120"/>
            </w:pPr>
          </w:p>
        </w:tc>
        <w:tc>
          <w:tcPr>
            <w:tcW w:w="1552" w:type="dxa"/>
          </w:tcPr>
          <w:p w:rsidR="004F3510" w:rsidRPr="00F32DDB" w:rsidRDefault="004F3510" w:rsidP="004158C2">
            <w:pPr>
              <w:spacing w:after="120"/>
              <w:jc w:val="center"/>
              <w:rPr>
                <w:b/>
              </w:rPr>
            </w:pPr>
            <w:r w:rsidRPr="00F32DDB">
              <w:rPr>
                <w:b/>
              </w:rPr>
              <w:t>£</w:t>
            </w:r>
            <w:r w:rsidR="004158C2" w:rsidRPr="00F32DDB">
              <w:rPr>
                <w:b/>
              </w:rPr>
              <w:t>m</w:t>
            </w:r>
          </w:p>
        </w:tc>
        <w:tc>
          <w:tcPr>
            <w:tcW w:w="1553" w:type="dxa"/>
          </w:tcPr>
          <w:p w:rsidR="004F3510" w:rsidRPr="00F32DDB" w:rsidRDefault="004F3510" w:rsidP="004158C2">
            <w:pPr>
              <w:spacing w:after="120"/>
              <w:jc w:val="center"/>
              <w:rPr>
                <w:b/>
              </w:rPr>
            </w:pPr>
            <w:r w:rsidRPr="00F32DDB">
              <w:rPr>
                <w:b/>
              </w:rPr>
              <w:t>£</w:t>
            </w:r>
            <w:r w:rsidR="004158C2" w:rsidRPr="00F32DDB">
              <w:rPr>
                <w:b/>
              </w:rPr>
              <w:t>m</w:t>
            </w:r>
          </w:p>
        </w:tc>
        <w:tc>
          <w:tcPr>
            <w:tcW w:w="1552" w:type="dxa"/>
          </w:tcPr>
          <w:p w:rsidR="004F3510" w:rsidRPr="00F32DDB" w:rsidRDefault="004F3510" w:rsidP="004158C2">
            <w:pPr>
              <w:spacing w:after="120"/>
              <w:jc w:val="center"/>
              <w:rPr>
                <w:b/>
              </w:rPr>
            </w:pPr>
            <w:r w:rsidRPr="00F32DDB">
              <w:rPr>
                <w:b/>
              </w:rPr>
              <w:t>£</w:t>
            </w:r>
            <w:r w:rsidR="004158C2" w:rsidRPr="00F32DDB">
              <w:rPr>
                <w:b/>
              </w:rPr>
              <w:t>m</w:t>
            </w:r>
          </w:p>
        </w:tc>
        <w:tc>
          <w:tcPr>
            <w:tcW w:w="1553" w:type="dxa"/>
          </w:tcPr>
          <w:p w:rsidR="004F3510" w:rsidRPr="00F32DDB" w:rsidRDefault="004F3510" w:rsidP="004158C2">
            <w:pPr>
              <w:spacing w:after="120"/>
              <w:jc w:val="center"/>
              <w:rPr>
                <w:b/>
              </w:rPr>
            </w:pPr>
            <w:r w:rsidRPr="00F32DDB">
              <w:rPr>
                <w:b/>
              </w:rPr>
              <w:t>£</w:t>
            </w:r>
            <w:r w:rsidR="004158C2" w:rsidRPr="00F32DDB">
              <w:rPr>
                <w:b/>
              </w:rPr>
              <w:t>m</w:t>
            </w:r>
          </w:p>
        </w:tc>
      </w:tr>
      <w:tr w:rsidR="004F3510" w:rsidRPr="00F32DDB" w:rsidTr="00025990">
        <w:tc>
          <w:tcPr>
            <w:tcW w:w="2988" w:type="dxa"/>
          </w:tcPr>
          <w:p w:rsidR="004F3510" w:rsidRPr="00F32DDB" w:rsidRDefault="004F3510" w:rsidP="004F3510">
            <w:r w:rsidRPr="00F32DDB">
              <w:t>Borrowing</w:t>
            </w:r>
          </w:p>
        </w:tc>
        <w:tc>
          <w:tcPr>
            <w:tcW w:w="1552" w:type="dxa"/>
          </w:tcPr>
          <w:p w:rsidR="004F3510" w:rsidRPr="00F32DDB" w:rsidRDefault="00F32DDB" w:rsidP="00B224F9">
            <w:pPr>
              <w:pStyle w:val="Header"/>
              <w:tabs>
                <w:tab w:val="decimal" w:pos="1062"/>
              </w:tabs>
              <w:rPr>
                <w:rFonts w:ascii="Arial" w:hAnsi="Arial" w:cs="Arial"/>
              </w:rPr>
            </w:pPr>
            <w:r w:rsidRPr="00F32DDB">
              <w:rPr>
                <w:rFonts w:ascii="Arial" w:hAnsi="Arial" w:cs="Arial"/>
              </w:rPr>
              <w:t>841</w:t>
            </w:r>
            <w:r w:rsidR="00741879">
              <w:rPr>
                <w:rFonts w:ascii="Arial" w:hAnsi="Arial" w:cs="Arial"/>
              </w:rPr>
              <w:t>.000</w:t>
            </w:r>
          </w:p>
        </w:tc>
        <w:tc>
          <w:tcPr>
            <w:tcW w:w="1553" w:type="dxa"/>
          </w:tcPr>
          <w:p w:rsidR="004F3510" w:rsidRPr="00F32DDB" w:rsidRDefault="00CC1F70" w:rsidP="00CC1F70">
            <w:pPr>
              <w:tabs>
                <w:tab w:val="decimal" w:pos="1062"/>
              </w:tabs>
            </w:pPr>
            <w:r>
              <w:t>910</w:t>
            </w:r>
            <w:r w:rsidR="00741879">
              <w:t>.000</w:t>
            </w:r>
          </w:p>
        </w:tc>
        <w:tc>
          <w:tcPr>
            <w:tcW w:w="1552" w:type="dxa"/>
          </w:tcPr>
          <w:p w:rsidR="004F3510" w:rsidRPr="00F32DDB" w:rsidRDefault="00CC1F70" w:rsidP="007E527B">
            <w:pPr>
              <w:tabs>
                <w:tab w:val="decimal" w:pos="1062"/>
              </w:tabs>
            </w:pPr>
            <w:r>
              <w:t>935</w:t>
            </w:r>
            <w:r w:rsidR="00741879">
              <w:t>.000</w:t>
            </w:r>
          </w:p>
        </w:tc>
        <w:tc>
          <w:tcPr>
            <w:tcW w:w="1553" w:type="dxa"/>
          </w:tcPr>
          <w:p w:rsidR="004F3510" w:rsidRPr="00F32DDB" w:rsidRDefault="00CC1F70" w:rsidP="007E527B">
            <w:pPr>
              <w:tabs>
                <w:tab w:val="decimal" w:pos="1062"/>
              </w:tabs>
            </w:pPr>
            <w:r>
              <w:t>937</w:t>
            </w:r>
            <w:r w:rsidR="00741879">
              <w:t>.000</w:t>
            </w:r>
          </w:p>
        </w:tc>
      </w:tr>
      <w:tr w:rsidR="004F3510" w:rsidRPr="00F32DDB" w:rsidTr="00025990">
        <w:tc>
          <w:tcPr>
            <w:tcW w:w="2988" w:type="dxa"/>
          </w:tcPr>
          <w:p w:rsidR="004F3510" w:rsidRPr="00F32DDB" w:rsidRDefault="004F3510" w:rsidP="004F3510">
            <w:pPr>
              <w:spacing w:after="240"/>
            </w:pPr>
            <w:r w:rsidRPr="00F32DDB">
              <w:t>Other long term liabilities</w:t>
            </w:r>
          </w:p>
        </w:tc>
        <w:tc>
          <w:tcPr>
            <w:tcW w:w="1552" w:type="dxa"/>
          </w:tcPr>
          <w:p w:rsidR="004F3510" w:rsidRPr="00F32DDB" w:rsidRDefault="004B2FE8" w:rsidP="004B2FE8">
            <w:pPr>
              <w:tabs>
                <w:tab w:val="decimal" w:pos="1062"/>
              </w:tabs>
              <w:spacing w:after="240"/>
            </w:pPr>
            <w:r w:rsidRPr="00F32DDB">
              <w:t>450</w:t>
            </w:r>
            <w:r w:rsidR="00741879">
              <w:t>.000</w:t>
            </w:r>
          </w:p>
        </w:tc>
        <w:tc>
          <w:tcPr>
            <w:tcW w:w="1553" w:type="dxa"/>
          </w:tcPr>
          <w:p w:rsidR="004F3510" w:rsidRPr="00F32DDB" w:rsidRDefault="004B2FE8" w:rsidP="00F32DDB">
            <w:pPr>
              <w:tabs>
                <w:tab w:val="decimal" w:pos="1062"/>
              </w:tabs>
              <w:spacing w:after="240"/>
            </w:pPr>
            <w:r w:rsidRPr="00F32DDB">
              <w:t>4</w:t>
            </w:r>
            <w:r w:rsidR="00F32DDB" w:rsidRPr="00F32DDB">
              <w:t>40</w:t>
            </w:r>
            <w:r w:rsidR="00741879">
              <w:t>.000</w:t>
            </w:r>
          </w:p>
        </w:tc>
        <w:tc>
          <w:tcPr>
            <w:tcW w:w="1552" w:type="dxa"/>
          </w:tcPr>
          <w:p w:rsidR="004F3510" w:rsidRPr="00F32DDB" w:rsidRDefault="004B2FE8" w:rsidP="00F32DDB">
            <w:pPr>
              <w:tabs>
                <w:tab w:val="decimal" w:pos="1062"/>
              </w:tabs>
              <w:spacing w:after="240"/>
            </w:pPr>
            <w:r w:rsidRPr="00F32DDB">
              <w:t>4</w:t>
            </w:r>
            <w:r w:rsidR="00F32DDB" w:rsidRPr="00F32DDB">
              <w:t>30</w:t>
            </w:r>
            <w:r w:rsidR="00741879">
              <w:t>.000</w:t>
            </w:r>
          </w:p>
        </w:tc>
        <w:tc>
          <w:tcPr>
            <w:tcW w:w="1553" w:type="dxa"/>
          </w:tcPr>
          <w:p w:rsidR="004F3510" w:rsidRPr="00F32DDB" w:rsidRDefault="004B2FE8" w:rsidP="00F32DDB">
            <w:pPr>
              <w:tabs>
                <w:tab w:val="decimal" w:pos="1062"/>
              </w:tabs>
              <w:spacing w:after="240"/>
            </w:pPr>
            <w:r w:rsidRPr="00F32DDB">
              <w:t>4</w:t>
            </w:r>
            <w:r w:rsidR="00F32DDB" w:rsidRPr="00F32DDB">
              <w:t>20</w:t>
            </w:r>
            <w:r w:rsidR="00741879">
              <w:t>.000</w:t>
            </w:r>
          </w:p>
        </w:tc>
      </w:tr>
    </w:tbl>
    <w:p w:rsidR="00877552" w:rsidRPr="00F32DDB" w:rsidRDefault="00877552" w:rsidP="004F3510">
      <w:pPr>
        <w:spacing w:after="240"/>
      </w:pPr>
    </w:p>
    <w:p w:rsidR="004F3510" w:rsidRPr="00F32DDB" w:rsidRDefault="004F3510" w:rsidP="004A3F15">
      <w:pPr>
        <w:spacing w:after="240"/>
        <w:jc w:val="both"/>
      </w:pPr>
      <w:r w:rsidRPr="00F32DDB">
        <w:t>The debt figures include transferred debt which is managed by the County Council on behalf of other authorities.</w:t>
      </w:r>
      <w:r w:rsidR="00E5600A" w:rsidRPr="00F32DDB">
        <w:t xml:space="preserve"> </w:t>
      </w:r>
      <w:r w:rsidR="00797CA4" w:rsidRPr="00F32DDB">
        <w:t>T</w:t>
      </w:r>
      <w:r w:rsidRPr="00F32DDB">
        <w:t>he transferred debt included within the debt indicators is estimated to be:</w:t>
      </w:r>
    </w:p>
    <w:tbl>
      <w:tblPr>
        <w:tblW w:w="0" w:type="auto"/>
        <w:jc w:val="center"/>
        <w:tblLayout w:type="fixed"/>
        <w:tblLook w:val="0000" w:firstRow="0" w:lastRow="0" w:firstColumn="0" w:lastColumn="0" w:noHBand="0" w:noVBand="0"/>
      </w:tblPr>
      <w:tblGrid>
        <w:gridCol w:w="1440"/>
        <w:gridCol w:w="1440"/>
      </w:tblGrid>
      <w:tr w:rsidR="00B224F9" w:rsidRPr="00F32DDB" w:rsidTr="004F3510">
        <w:trPr>
          <w:jc w:val="center"/>
        </w:trPr>
        <w:tc>
          <w:tcPr>
            <w:tcW w:w="1440" w:type="dxa"/>
          </w:tcPr>
          <w:p w:rsidR="00B224F9" w:rsidRPr="00F32DDB" w:rsidRDefault="00B224F9" w:rsidP="00F32DDB">
            <w:pPr>
              <w:jc w:val="center"/>
            </w:pPr>
            <w:r w:rsidRPr="00F32DDB">
              <w:t>201</w:t>
            </w:r>
            <w:r w:rsidR="00F32DDB" w:rsidRPr="00F32DDB">
              <w:t>3</w:t>
            </w:r>
            <w:r w:rsidRPr="00F32DDB">
              <w:t>/1</w:t>
            </w:r>
            <w:r w:rsidR="00F32DDB" w:rsidRPr="00F32DDB">
              <w:t>4</w:t>
            </w:r>
          </w:p>
        </w:tc>
        <w:tc>
          <w:tcPr>
            <w:tcW w:w="1440" w:type="dxa"/>
          </w:tcPr>
          <w:p w:rsidR="00B224F9" w:rsidRPr="00F32DDB" w:rsidRDefault="00B224F9" w:rsidP="00F32DDB">
            <w:pPr>
              <w:jc w:val="center"/>
            </w:pPr>
            <w:r w:rsidRPr="00F32DDB">
              <w:t>£4</w:t>
            </w:r>
            <w:r w:rsidR="00F32DDB" w:rsidRPr="00F32DDB">
              <w:t>1</w:t>
            </w:r>
            <w:r w:rsidRPr="00F32DDB">
              <w:t>.</w:t>
            </w:r>
            <w:r w:rsidR="00F32DDB" w:rsidRPr="00F32DDB">
              <w:t>547</w:t>
            </w:r>
            <w:r w:rsidRPr="00F32DDB">
              <w:t xml:space="preserve"> m</w:t>
            </w:r>
          </w:p>
        </w:tc>
      </w:tr>
      <w:tr w:rsidR="004F3510" w:rsidRPr="00F32DDB" w:rsidTr="004F3510">
        <w:trPr>
          <w:jc w:val="center"/>
        </w:trPr>
        <w:tc>
          <w:tcPr>
            <w:tcW w:w="1440" w:type="dxa"/>
          </w:tcPr>
          <w:p w:rsidR="004F3510" w:rsidRPr="00F32DDB" w:rsidRDefault="004F3510" w:rsidP="00F32DDB">
            <w:pPr>
              <w:jc w:val="center"/>
            </w:pPr>
            <w:r w:rsidRPr="00F32DDB">
              <w:t>201</w:t>
            </w:r>
            <w:r w:rsidR="00F32DDB" w:rsidRPr="00F32DDB">
              <w:t>4</w:t>
            </w:r>
            <w:r w:rsidRPr="00F32DDB">
              <w:t>/1</w:t>
            </w:r>
            <w:r w:rsidR="00F32DDB" w:rsidRPr="00F32DDB">
              <w:t>5</w:t>
            </w:r>
          </w:p>
        </w:tc>
        <w:tc>
          <w:tcPr>
            <w:tcW w:w="1440" w:type="dxa"/>
          </w:tcPr>
          <w:p w:rsidR="004F3510" w:rsidRPr="00F32DDB" w:rsidRDefault="004F3510" w:rsidP="00F32DDB">
            <w:pPr>
              <w:jc w:val="center"/>
            </w:pPr>
            <w:r w:rsidRPr="00F32DDB">
              <w:t>£</w:t>
            </w:r>
            <w:r w:rsidR="00F32DDB" w:rsidRPr="00F32DDB">
              <w:t>39</w:t>
            </w:r>
            <w:r w:rsidR="007D4007" w:rsidRPr="00F32DDB">
              <w:t>.</w:t>
            </w:r>
            <w:r w:rsidR="00F32DDB" w:rsidRPr="00F32DDB">
              <w:t>579</w:t>
            </w:r>
            <w:r w:rsidRPr="00F32DDB">
              <w:t xml:space="preserve"> m</w:t>
            </w:r>
          </w:p>
        </w:tc>
      </w:tr>
      <w:tr w:rsidR="004F3510" w:rsidRPr="00F32DDB" w:rsidTr="004F3510">
        <w:trPr>
          <w:jc w:val="center"/>
        </w:trPr>
        <w:tc>
          <w:tcPr>
            <w:tcW w:w="1440" w:type="dxa"/>
          </w:tcPr>
          <w:p w:rsidR="004F3510" w:rsidRPr="00F32DDB" w:rsidRDefault="004F3510" w:rsidP="00F32DDB">
            <w:pPr>
              <w:jc w:val="center"/>
            </w:pPr>
            <w:r w:rsidRPr="00F32DDB">
              <w:t>201</w:t>
            </w:r>
            <w:r w:rsidR="00F32DDB" w:rsidRPr="00F32DDB">
              <w:t>5</w:t>
            </w:r>
            <w:r w:rsidRPr="00F32DDB">
              <w:t>/1</w:t>
            </w:r>
            <w:r w:rsidR="00F32DDB" w:rsidRPr="00F32DDB">
              <w:t>6</w:t>
            </w:r>
          </w:p>
        </w:tc>
        <w:tc>
          <w:tcPr>
            <w:tcW w:w="1440" w:type="dxa"/>
          </w:tcPr>
          <w:p w:rsidR="004F3510" w:rsidRPr="00F32DDB" w:rsidRDefault="004F3510" w:rsidP="00F32DDB">
            <w:pPr>
              <w:jc w:val="center"/>
            </w:pPr>
            <w:r w:rsidRPr="00F32DDB">
              <w:t>£</w:t>
            </w:r>
            <w:r w:rsidR="007D4007" w:rsidRPr="00F32DDB">
              <w:t>3</w:t>
            </w:r>
            <w:r w:rsidR="00F32DDB" w:rsidRPr="00F32DDB">
              <w:t>7</w:t>
            </w:r>
            <w:r w:rsidR="007D4007" w:rsidRPr="00F32DDB">
              <w:t>.</w:t>
            </w:r>
            <w:r w:rsidR="00F32DDB" w:rsidRPr="00F32DDB">
              <w:t>680</w:t>
            </w:r>
            <w:r w:rsidRPr="00F32DDB">
              <w:t xml:space="preserve"> m </w:t>
            </w:r>
          </w:p>
        </w:tc>
      </w:tr>
      <w:tr w:rsidR="004F3510" w:rsidRPr="001143BB" w:rsidTr="004F3510">
        <w:trPr>
          <w:jc w:val="center"/>
        </w:trPr>
        <w:tc>
          <w:tcPr>
            <w:tcW w:w="1440" w:type="dxa"/>
          </w:tcPr>
          <w:p w:rsidR="004F3510" w:rsidRPr="00F32DDB" w:rsidRDefault="004F3510" w:rsidP="00F32DDB">
            <w:pPr>
              <w:spacing w:after="240"/>
              <w:jc w:val="center"/>
            </w:pPr>
            <w:r w:rsidRPr="00F32DDB">
              <w:t>201</w:t>
            </w:r>
            <w:r w:rsidR="00F32DDB" w:rsidRPr="00F32DDB">
              <w:t>6</w:t>
            </w:r>
            <w:r w:rsidRPr="00F32DDB">
              <w:t>/1</w:t>
            </w:r>
            <w:r w:rsidR="00F32DDB" w:rsidRPr="00F32DDB">
              <w:t>7</w:t>
            </w:r>
          </w:p>
        </w:tc>
        <w:tc>
          <w:tcPr>
            <w:tcW w:w="1440" w:type="dxa"/>
          </w:tcPr>
          <w:p w:rsidR="004F3510" w:rsidRPr="00F32DDB" w:rsidRDefault="004F3510" w:rsidP="00F32DDB">
            <w:pPr>
              <w:spacing w:after="240"/>
              <w:jc w:val="center"/>
            </w:pPr>
            <w:r w:rsidRPr="00F32DDB">
              <w:t>£</w:t>
            </w:r>
            <w:r w:rsidR="007D4007" w:rsidRPr="00F32DDB">
              <w:t>3</w:t>
            </w:r>
            <w:r w:rsidR="00F32DDB" w:rsidRPr="00F32DDB">
              <w:t>5</w:t>
            </w:r>
            <w:r w:rsidR="007D4007" w:rsidRPr="00F32DDB">
              <w:t>.</w:t>
            </w:r>
            <w:r w:rsidR="00F32DDB" w:rsidRPr="00F32DDB">
              <w:t>993</w:t>
            </w:r>
            <w:r w:rsidRPr="00F32DDB">
              <w:t>m</w:t>
            </w:r>
          </w:p>
        </w:tc>
      </w:tr>
    </w:tbl>
    <w:p w:rsidR="00D71B7D" w:rsidRPr="002A48EA" w:rsidRDefault="00D71B7D" w:rsidP="00D71B7D">
      <w:pPr>
        <w:pStyle w:val="Heading3"/>
        <w:ind w:left="360"/>
      </w:pPr>
      <w:r>
        <w:t>(e) Gross Debt and Capital Financing Requirement</w:t>
      </w:r>
    </w:p>
    <w:p w:rsidR="00A2720C" w:rsidRPr="00C660FA" w:rsidRDefault="00797CA4" w:rsidP="004A3F15">
      <w:pPr>
        <w:pStyle w:val="Heading3"/>
        <w:jc w:val="both"/>
      </w:pPr>
      <w:r w:rsidRPr="00C660FA">
        <w:rPr>
          <w:b w:val="0"/>
        </w:rPr>
        <w:t>As a measure of prudence and to ensure that over the medium term debt is only used for a capital purpose</w:t>
      </w:r>
      <w:r w:rsidR="00A2720C" w:rsidRPr="00C660FA">
        <w:rPr>
          <w:b w:val="0"/>
        </w:rPr>
        <w:t>, the prudential code requires a comparison of gross debt and the capital financing requirement. The comparison for Lancashire County Council is shown below:</w:t>
      </w:r>
    </w:p>
    <w:p w:rsidR="00A2720C" w:rsidRPr="00C660FA" w:rsidRDefault="00A2720C" w:rsidP="00A2720C"/>
    <w:tbl>
      <w:tblPr>
        <w:tblStyle w:val="TableGrid"/>
        <w:tblW w:w="0" w:type="auto"/>
        <w:tblLook w:val="04A0" w:firstRow="1" w:lastRow="0" w:firstColumn="1" w:lastColumn="0" w:noHBand="0" w:noVBand="1"/>
      </w:tblPr>
      <w:tblGrid>
        <w:gridCol w:w="3408"/>
        <w:gridCol w:w="1562"/>
        <w:gridCol w:w="1342"/>
        <w:gridCol w:w="1562"/>
        <w:gridCol w:w="1368"/>
      </w:tblGrid>
      <w:tr w:rsidR="00C660FA" w:rsidRPr="00C660FA" w:rsidTr="00C660FA">
        <w:tc>
          <w:tcPr>
            <w:tcW w:w="3408" w:type="dxa"/>
          </w:tcPr>
          <w:p w:rsidR="00C660FA" w:rsidRPr="00C660FA" w:rsidRDefault="00C660FA" w:rsidP="00A2720C"/>
        </w:tc>
        <w:tc>
          <w:tcPr>
            <w:tcW w:w="1562" w:type="dxa"/>
          </w:tcPr>
          <w:p w:rsidR="00C660FA" w:rsidRPr="00C660FA" w:rsidRDefault="00C660FA" w:rsidP="00A2720C">
            <w:pPr>
              <w:jc w:val="center"/>
            </w:pPr>
            <w:r w:rsidRPr="00C660FA">
              <w:t>2013/14</w:t>
            </w:r>
          </w:p>
        </w:tc>
        <w:tc>
          <w:tcPr>
            <w:tcW w:w="1342" w:type="dxa"/>
          </w:tcPr>
          <w:p w:rsidR="00C660FA" w:rsidRPr="00C660FA" w:rsidRDefault="00C660FA" w:rsidP="00A2720C">
            <w:pPr>
              <w:jc w:val="center"/>
            </w:pPr>
            <w:r w:rsidRPr="00C660FA">
              <w:t>2014/15</w:t>
            </w:r>
          </w:p>
        </w:tc>
        <w:tc>
          <w:tcPr>
            <w:tcW w:w="1562" w:type="dxa"/>
          </w:tcPr>
          <w:p w:rsidR="00C660FA" w:rsidRPr="00C660FA" w:rsidRDefault="00C660FA" w:rsidP="00A2720C">
            <w:pPr>
              <w:jc w:val="center"/>
            </w:pPr>
            <w:r w:rsidRPr="00C660FA">
              <w:t>2015/16</w:t>
            </w:r>
          </w:p>
        </w:tc>
        <w:tc>
          <w:tcPr>
            <w:tcW w:w="1368" w:type="dxa"/>
          </w:tcPr>
          <w:p w:rsidR="00C660FA" w:rsidRPr="00C660FA" w:rsidRDefault="00C660FA" w:rsidP="00A2720C">
            <w:pPr>
              <w:jc w:val="center"/>
            </w:pPr>
            <w:r w:rsidRPr="00C660FA">
              <w:t>2016/17</w:t>
            </w:r>
          </w:p>
        </w:tc>
      </w:tr>
      <w:tr w:rsidR="00C660FA" w:rsidRPr="00C660FA" w:rsidTr="00C660FA">
        <w:tc>
          <w:tcPr>
            <w:tcW w:w="3408" w:type="dxa"/>
          </w:tcPr>
          <w:p w:rsidR="00C660FA" w:rsidRPr="00C660FA" w:rsidRDefault="00C660FA" w:rsidP="00A2720C"/>
        </w:tc>
        <w:tc>
          <w:tcPr>
            <w:tcW w:w="1562" w:type="dxa"/>
          </w:tcPr>
          <w:p w:rsidR="00C660FA" w:rsidRPr="00C660FA" w:rsidRDefault="00C660FA" w:rsidP="00A2720C">
            <w:pPr>
              <w:jc w:val="center"/>
            </w:pPr>
            <w:r w:rsidRPr="00C660FA">
              <w:t>£m</w:t>
            </w:r>
          </w:p>
        </w:tc>
        <w:tc>
          <w:tcPr>
            <w:tcW w:w="1342" w:type="dxa"/>
          </w:tcPr>
          <w:p w:rsidR="00C660FA" w:rsidRPr="00C660FA" w:rsidRDefault="00C660FA" w:rsidP="00A2720C">
            <w:pPr>
              <w:jc w:val="center"/>
            </w:pPr>
            <w:r w:rsidRPr="00C660FA">
              <w:t>£m</w:t>
            </w:r>
          </w:p>
        </w:tc>
        <w:tc>
          <w:tcPr>
            <w:tcW w:w="1562" w:type="dxa"/>
          </w:tcPr>
          <w:p w:rsidR="00C660FA" w:rsidRPr="00C660FA" w:rsidRDefault="00C660FA" w:rsidP="00A2720C">
            <w:pPr>
              <w:jc w:val="center"/>
            </w:pPr>
            <w:r w:rsidRPr="00C660FA">
              <w:t>£m</w:t>
            </w:r>
          </w:p>
        </w:tc>
        <w:tc>
          <w:tcPr>
            <w:tcW w:w="1368" w:type="dxa"/>
          </w:tcPr>
          <w:p w:rsidR="00C660FA" w:rsidRPr="00C660FA" w:rsidRDefault="00C660FA" w:rsidP="00A2720C">
            <w:pPr>
              <w:jc w:val="center"/>
            </w:pPr>
            <w:r w:rsidRPr="00C660FA">
              <w:t>£m</w:t>
            </w:r>
          </w:p>
        </w:tc>
      </w:tr>
      <w:tr w:rsidR="00C660FA" w:rsidRPr="00C660FA" w:rsidTr="00C660FA">
        <w:tc>
          <w:tcPr>
            <w:tcW w:w="3408" w:type="dxa"/>
          </w:tcPr>
          <w:p w:rsidR="00C660FA" w:rsidRPr="00C660FA" w:rsidRDefault="00C660FA" w:rsidP="00A2720C"/>
        </w:tc>
        <w:tc>
          <w:tcPr>
            <w:tcW w:w="1562" w:type="dxa"/>
          </w:tcPr>
          <w:p w:rsidR="00C660FA" w:rsidRPr="00C660FA" w:rsidRDefault="00C660FA" w:rsidP="00A2720C"/>
        </w:tc>
        <w:tc>
          <w:tcPr>
            <w:tcW w:w="1342" w:type="dxa"/>
          </w:tcPr>
          <w:p w:rsidR="00C660FA" w:rsidRPr="00C660FA" w:rsidRDefault="00C660FA" w:rsidP="00A2720C"/>
        </w:tc>
        <w:tc>
          <w:tcPr>
            <w:tcW w:w="1562" w:type="dxa"/>
          </w:tcPr>
          <w:p w:rsidR="00C660FA" w:rsidRPr="00C660FA" w:rsidRDefault="00C660FA" w:rsidP="00A2720C"/>
        </w:tc>
        <w:tc>
          <w:tcPr>
            <w:tcW w:w="1368" w:type="dxa"/>
          </w:tcPr>
          <w:p w:rsidR="00C660FA" w:rsidRPr="00C660FA" w:rsidRDefault="00C660FA" w:rsidP="00A2720C"/>
        </w:tc>
      </w:tr>
      <w:tr w:rsidR="00C660FA" w:rsidRPr="00C660FA" w:rsidTr="00277CAC">
        <w:tc>
          <w:tcPr>
            <w:tcW w:w="3408" w:type="dxa"/>
          </w:tcPr>
          <w:p w:rsidR="00C660FA" w:rsidRPr="00C660FA" w:rsidRDefault="00C660FA" w:rsidP="00A2720C">
            <w:r w:rsidRPr="00C660FA">
              <w:t>Capital Financing Requirement</w:t>
            </w:r>
          </w:p>
        </w:tc>
        <w:tc>
          <w:tcPr>
            <w:tcW w:w="1562" w:type="dxa"/>
            <w:vAlign w:val="center"/>
          </w:tcPr>
          <w:p w:rsidR="00C660FA" w:rsidRPr="00C660FA" w:rsidRDefault="00277CAC" w:rsidP="00277CAC">
            <w:pPr>
              <w:jc w:val="center"/>
            </w:pPr>
            <w:r>
              <w:t xml:space="preserve">  636</w:t>
            </w:r>
          </w:p>
        </w:tc>
        <w:tc>
          <w:tcPr>
            <w:tcW w:w="1342" w:type="dxa"/>
            <w:vAlign w:val="center"/>
          </w:tcPr>
          <w:p w:rsidR="00C660FA" w:rsidRPr="00C660FA" w:rsidRDefault="00277CAC" w:rsidP="00277CAC">
            <w:pPr>
              <w:jc w:val="center"/>
            </w:pPr>
            <w:r>
              <w:t xml:space="preserve">  645</w:t>
            </w:r>
          </w:p>
        </w:tc>
        <w:tc>
          <w:tcPr>
            <w:tcW w:w="1562" w:type="dxa"/>
            <w:vAlign w:val="center"/>
          </w:tcPr>
          <w:p w:rsidR="00C660FA" w:rsidRPr="00C660FA" w:rsidRDefault="00277CAC" w:rsidP="00277CAC">
            <w:pPr>
              <w:jc w:val="center"/>
            </w:pPr>
            <w:r>
              <w:t xml:space="preserve"> 677</w:t>
            </w:r>
          </w:p>
        </w:tc>
        <w:tc>
          <w:tcPr>
            <w:tcW w:w="1368" w:type="dxa"/>
            <w:vAlign w:val="center"/>
          </w:tcPr>
          <w:p w:rsidR="00C660FA" w:rsidRPr="00C660FA" w:rsidRDefault="00277CAC" w:rsidP="00277CAC">
            <w:pPr>
              <w:jc w:val="center"/>
            </w:pPr>
            <w:r>
              <w:t>669</w:t>
            </w:r>
          </w:p>
        </w:tc>
      </w:tr>
      <w:tr w:rsidR="00C660FA" w:rsidRPr="00C660FA" w:rsidTr="00277CAC">
        <w:tc>
          <w:tcPr>
            <w:tcW w:w="3408" w:type="dxa"/>
          </w:tcPr>
          <w:p w:rsidR="00C660FA" w:rsidRPr="00C660FA" w:rsidRDefault="006264D2" w:rsidP="00A2720C">
            <w:r>
              <w:t xml:space="preserve">Estimated </w:t>
            </w:r>
            <w:r w:rsidRPr="00C660FA">
              <w:t xml:space="preserve"> </w:t>
            </w:r>
            <w:r w:rsidR="00C660FA" w:rsidRPr="00C660FA">
              <w:t>Gross Debt</w:t>
            </w:r>
            <w:r>
              <w:t xml:space="preserve"> at 31 March</w:t>
            </w:r>
          </w:p>
        </w:tc>
        <w:tc>
          <w:tcPr>
            <w:tcW w:w="1562" w:type="dxa"/>
            <w:vAlign w:val="center"/>
          </w:tcPr>
          <w:p w:rsidR="00C660FA" w:rsidRPr="00C660FA" w:rsidRDefault="00277CAC" w:rsidP="00277CAC">
            <w:pPr>
              <w:jc w:val="center"/>
            </w:pPr>
            <w:r>
              <w:t xml:space="preserve">  806</w:t>
            </w:r>
          </w:p>
        </w:tc>
        <w:tc>
          <w:tcPr>
            <w:tcW w:w="1342" w:type="dxa"/>
            <w:vAlign w:val="center"/>
          </w:tcPr>
          <w:p w:rsidR="00C660FA" w:rsidRPr="00C660FA" w:rsidRDefault="00277CAC" w:rsidP="00277CAC">
            <w:pPr>
              <w:jc w:val="center"/>
            </w:pPr>
            <w:r>
              <w:t xml:space="preserve"> 815</w:t>
            </w:r>
          </w:p>
        </w:tc>
        <w:tc>
          <w:tcPr>
            <w:tcW w:w="1562" w:type="dxa"/>
            <w:vAlign w:val="center"/>
          </w:tcPr>
          <w:p w:rsidR="00C660FA" w:rsidRPr="00C660FA" w:rsidRDefault="00277CAC" w:rsidP="00277CAC">
            <w:pPr>
              <w:jc w:val="center"/>
            </w:pPr>
            <w:r>
              <w:t xml:space="preserve"> 847</w:t>
            </w:r>
          </w:p>
        </w:tc>
        <w:tc>
          <w:tcPr>
            <w:tcW w:w="1368" w:type="dxa"/>
            <w:vAlign w:val="center"/>
          </w:tcPr>
          <w:p w:rsidR="00C660FA" w:rsidRPr="00C660FA" w:rsidRDefault="00277CAC" w:rsidP="00277CAC">
            <w:pPr>
              <w:jc w:val="center"/>
            </w:pPr>
            <w:r>
              <w:t>839</w:t>
            </w:r>
          </w:p>
        </w:tc>
      </w:tr>
      <w:tr w:rsidR="00C660FA" w:rsidRPr="00C660FA" w:rsidTr="00C660FA">
        <w:tc>
          <w:tcPr>
            <w:tcW w:w="3408" w:type="dxa"/>
          </w:tcPr>
          <w:p w:rsidR="00C660FA" w:rsidRPr="00C660FA" w:rsidRDefault="00C660FA" w:rsidP="00A2720C">
            <w:r w:rsidRPr="00C660FA">
              <w:t>Debt to CFR</w:t>
            </w:r>
          </w:p>
        </w:tc>
        <w:tc>
          <w:tcPr>
            <w:tcW w:w="1562" w:type="dxa"/>
          </w:tcPr>
          <w:p w:rsidR="00C660FA" w:rsidRPr="00C660FA" w:rsidRDefault="00C660FA" w:rsidP="00277CAC">
            <w:pPr>
              <w:jc w:val="center"/>
            </w:pPr>
            <w:r w:rsidRPr="00C660FA">
              <w:t xml:space="preserve">    </w:t>
            </w:r>
            <w:r w:rsidR="00277CAC" w:rsidRPr="00C660FA">
              <w:t>12</w:t>
            </w:r>
            <w:r w:rsidR="00277CAC">
              <w:t>7</w:t>
            </w:r>
            <w:r w:rsidRPr="00C660FA">
              <w:t>%</w:t>
            </w:r>
          </w:p>
        </w:tc>
        <w:tc>
          <w:tcPr>
            <w:tcW w:w="1342" w:type="dxa"/>
          </w:tcPr>
          <w:p w:rsidR="00C660FA" w:rsidRPr="00C660FA" w:rsidRDefault="00C660FA" w:rsidP="00277CAC">
            <w:pPr>
              <w:jc w:val="center"/>
            </w:pPr>
            <w:r w:rsidRPr="00C660FA">
              <w:t xml:space="preserve">    </w:t>
            </w:r>
            <w:r w:rsidR="00277CAC" w:rsidRPr="00C660FA">
              <w:t>12</w:t>
            </w:r>
            <w:r w:rsidR="00277CAC">
              <w:t>6</w:t>
            </w:r>
            <w:r w:rsidRPr="00C660FA">
              <w:t>%</w:t>
            </w:r>
          </w:p>
        </w:tc>
        <w:tc>
          <w:tcPr>
            <w:tcW w:w="1562" w:type="dxa"/>
          </w:tcPr>
          <w:p w:rsidR="00C660FA" w:rsidRPr="00C660FA" w:rsidRDefault="00C660FA" w:rsidP="00C660FA">
            <w:pPr>
              <w:jc w:val="center"/>
            </w:pPr>
            <w:r w:rsidRPr="00C660FA">
              <w:t xml:space="preserve">   125%</w:t>
            </w:r>
          </w:p>
        </w:tc>
        <w:tc>
          <w:tcPr>
            <w:tcW w:w="1368" w:type="dxa"/>
          </w:tcPr>
          <w:p w:rsidR="00C660FA" w:rsidRPr="00C660FA" w:rsidRDefault="00277CAC" w:rsidP="00277CAC">
            <w:pPr>
              <w:jc w:val="center"/>
            </w:pPr>
            <w:r>
              <w:t xml:space="preserve">  </w:t>
            </w:r>
            <w:r w:rsidRPr="00C660FA">
              <w:t>12</w:t>
            </w:r>
            <w:r>
              <w:t>5</w:t>
            </w:r>
            <w:r w:rsidR="00C660FA" w:rsidRPr="00C660FA">
              <w:t>%</w:t>
            </w:r>
          </w:p>
        </w:tc>
      </w:tr>
    </w:tbl>
    <w:p w:rsidR="00A2720C" w:rsidRPr="00C660FA" w:rsidRDefault="00A2720C" w:rsidP="00A2720C"/>
    <w:p w:rsidR="0035055B" w:rsidRDefault="00650616" w:rsidP="004A3F15">
      <w:pPr>
        <w:jc w:val="both"/>
      </w:pPr>
      <w:r w:rsidRPr="00C660FA">
        <w:t xml:space="preserve">The ratio of gross debt to capital financing requirement shows that gross debt is higher than the capital financing requirement. This is because the shared investment scheme </w:t>
      </w:r>
      <w:r w:rsidR="00277CAC">
        <w:t>and the replacement overdraft facility are</w:t>
      </w:r>
      <w:r w:rsidRPr="00C660FA">
        <w:t xml:space="preserve"> currently accounted for as borrowing but not counted against the capital financing requirement.</w:t>
      </w:r>
    </w:p>
    <w:p w:rsidR="004A3F15" w:rsidRPr="004A3F15" w:rsidRDefault="004A3F15" w:rsidP="004A3F15">
      <w:pPr>
        <w:jc w:val="both"/>
      </w:pPr>
    </w:p>
    <w:p w:rsidR="009F74AC" w:rsidRDefault="009214FB" w:rsidP="0035055B">
      <w:pPr>
        <w:rPr>
          <w:b/>
        </w:rPr>
      </w:pPr>
      <w:r w:rsidRPr="009214FB">
        <w:rPr>
          <w:b/>
        </w:rPr>
        <w:t xml:space="preserve">Treasury Management </w:t>
      </w:r>
      <w:r w:rsidR="00D71B7D">
        <w:rPr>
          <w:b/>
        </w:rPr>
        <w:t xml:space="preserve">Local </w:t>
      </w:r>
      <w:r w:rsidRPr="009214FB">
        <w:rPr>
          <w:b/>
        </w:rPr>
        <w:t>Indicators</w:t>
      </w:r>
      <w:r>
        <w:rPr>
          <w:b/>
        </w:rPr>
        <w:br/>
      </w:r>
    </w:p>
    <w:p w:rsidR="009214FB" w:rsidRPr="00D71B7D" w:rsidRDefault="00D71B7D" w:rsidP="004A3F15">
      <w:pPr>
        <w:jc w:val="both"/>
      </w:pPr>
      <w:r w:rsidRPr="00D71B7D">
        <w:t>These indicators are not prudential indicator limits but locally set indicators to facilitate risk management within the County Council's debt and investment portfolios.</w:t>
      </w:r>
    </w:p>
    <w:p w:rsidR="009214FB" w:rsidRPr="009214FB" w:rsidRDefault="009214FB" w:rsidP="0035055B">
      <w:pPr>
        <w:rPr>
          <w:b/>
        </w:rPr>
      </w:pPr>
    </w:p>
    <w:p w:rsidR="009F74AC" w:rsidRDefault="009F74AC" w:rsidP="00D71B7D">
      <w:pPr>
        <w:pStyle w:val="ListParagraph"/>
        <w:numPr>
          <w:ilvl w:val="0"/>
          <w:numId w:val="33"/>
        </w:numPr>
        <w:spacing w:after="200" w:line="276" w:lineRule="auto"/>
        <w:rPr>
          <w:b/>
          <w:color w:val="000000"/>
        </w:rPr>
      </w:pPr>
      <w:r w:rsidRPr="009214FB">
        <w:rPr>
          <w:b/>
          <w:color w:val="000000"/>
        </w:rPr>
        <w:t>Interest rate exposure</w:t>
      </w:r>
    </w:p>
    <w:p w:rsidR="004A3F15" w:rsidRDefault="004A3F15" w:rsidP="004A3F15">
      <w:pPr>
        <w:pStyle w:val="ListParagraph"/>
        <w:spacing w:after="200" w:line="276" w:lineRule="auto"/>
        <w:rPr>
          <w:b/>
          <w:color w:val="000000"/>
        </w:rPr>
      </w:pPr>
    </w:p>
    <w:p w:rsidR="007F6754" w:rsidRDefault="009E48A6" w:rsidP="004A3F15">
      <w:pPr>
        <w:pStyle w:val="ListParagraph"/>
        <w:spacing w:after="200" w:line="276" w:lineRule="auto"/>
        <w:ind w:left="0"/>
        <w:jc w:val="both"/>
      </w:pPr>
      <w:r w:rsidRPr="009E48A6">
        <w:rPr>
          <w:color w:val="000000"/>
        </w:rPr>
        <w:t xml:space="preserve">In order to control interest rate risk the County Council measures its exposure to interest rate movements. These indicators place limits on the overall amount of risk the County council is exposed to. </w:t>
      </w:r>
      <w:r w:rsidR="007F6754">
        <w:t>The one year impact indicator calculates</w:t>
      </w:r>
      <w:r w:rsidR="007F6754" w:rsidRPr="00C63B7D">
        <w:t xml:space="preserve"> the theoretical impact on the revenue account of an</w:t>
      </w:r>
      <w:r w:rsidR="007F6754">
        <w:t xml:space="preserve"> </w:t>
      </w:r>
      <w:r w:rsidR="007F6754" w:rsidRPr="00C63B7D">
        <w:t xml:space="preserve">immediate 1% rise in all interest rates over the course of one financial year. </w:t>
      </w:r>
    </w:p>
    <w:p w:rsidR="007F6754" w:rsidRDefault="007F6754" w:rsidP="009F74AC">
      <w:pPr>
        <w:pStyle w:val="ListParagraph"/>
        <w:spacing w:after="200" w:line="276" w:lineRule="auto"/>
        <w:ind w:left="0"/>
        <w:rPr>
          <w:b/>
          <w:color w:val="000000"/>
        </w:rPr>
      </w:pPr>
    </w:p>
    <w:p w:rsidR="004A3F15" w:rsidRDefault="004A3F15" w:rsidP="009F74AC">
      <w:pPr>
        <w:pStyle w:val="ListParagraph"/>
        <w:spacing w:after="200" w:line="276" w:lineRule="auto"/>
        <w:ind w:left="0"/>
        <w:rPr>
          <w:b/>
          <w:color w:val="000000"/>
        </w:rPr>
      </w:pPr>
    </w:p>
    <w:p w:rsidR="004A3F15" w:rsidRPr="009214FB" w:rsidRDefault="004A3F15" w:rsidP="009F74AC">
      <w:pPr>
        <w:pStyle w:val="ListParagraph"/>
        <w:spacing w:after="200" w:line="276" w:lineRule="auto"/>
        <w:ind w:left="0"/>
        <w:rPr>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046"/>
      </w:tblGrid>
      <w:tr w:rsidR="00217C4B" w:rsidTr="00F96065">
        <w:tc>
          <w:tcPr>
            <w:tcW w:w="5353" w:type="dxa"/>
          </w:tcPr>
          <w:p w:rsidR="00217C4B" w:rsidRDefault="00217C4B" w:rsidP="009F74AC"/>
        </w:tc>
        <w:tc>
          <w:tcPr>
            <w:tcW w:w="1843" w:type="dxa"/>
            <w:vAlign w:val="center"/>
          </w:tcPr>
          <w:p w:rsidR="00217C4B" w:rsidRDefault="00217C4B" w:rsidP="00217C4B">
            <w:pPr>
              <w:jc w:val="center"/>
            </w:pPr>
            <w:r>
              <w:t>Upper Limit</w:t>
            </w:r>
          </w:p>
        </w:tc>
        <w:tc>
          <w:tcPr>
            <w:tcW w:w="2046" w:type="dxa"/>
            <w:vAlign w:val="center"/>
          </w:tcPr>
          <w:p w:rsidR="00217C4B" w:rsidRDefault="00217C4B" w:rsidP="00F96065">
            <w:pPr>
              <w:jc w:val="center"/>
            </w:pPr>
            <w:r>
              <w:t>Dec</w:t>
            </w:r>
            <w:r w:rsidR="00D71B7D">
              <w:t xml:space="preserve"> </w:t>
            </w:r>
            <w:r w:rsidR="00F96065">
              <w:t>201</w:t>
            </w:r>
            <w:r>
              <w:t>3</w:t>
            </w:r>
          </w:p>
        </w:tc>
      </w:tr>
      <w:tr w:rsidR="00217C4B" w:rsidTr="00F96065">
        <w:tc>
          <w:tcPr>
            <w:tcW w:w="5353" w:type="dxa"/>
          </w:tcPr>
          <w:p w:rsidR="00217C4B" w:rsidRDefault="00217C4B" w:rsidP="009F74AC"/>
        </w:tc>
        <w:tc>
          <w:tcPr>
            <w:tcW w:w="1843" w:type="dxa"/>
            <w:vAlign w:val="center"/>
          </w:tcPr>
          <w:p w:rsidR="00217C4B" w:rsidRDefault="00217C4B" w:rsidP="00217C4B">
            <w:pPr>
              <w:jc w:val="center"/>
            </w:pPr>
            <w:r>
              <w:t>£m</w:t>
            </w:r>
          </w:p>
        </w:tc>
        <w:tc>
          <w:tcPr>
            <w:tcW w:w="2046" w:type="dxa"/>
            <w:vAlign w:val="center"/>
          </w:tcPr>
          <w:p w:rsidR="00217C4B" w:rsidRDefault="00217C4B" w:rsidP="00217C4B">
            <w:pPr>
              <w:jc w:val="center"/>
            </w:pPr>
            <w:r>
              <w:t>£m</w:t>
            </w:r>
          </w:p>
        </w:tc>
      </w:tr>
      <w:tr w:rsidR="00217C4B" w:rsidTr="00F96065">
        <w:tc>
          <w:tcPr>
            <w:tcW w:w="5353" w:type="dxa"/>
          </w:tcPr>
          <w:p w:rsidR="00217C4B" w:rsidRDefault="00217C4B" w:rsidP="009F74AC"/>
        </w:tc>
        <w:tc>
          <w:tcPr>
            <w:tcW w:w="1843" w:type="dxa"/>
            <w:vAlign w:val="center"/>
          </w:tcPr>
          <w:p w:rsidR="00217C4B" w:rsidRDefault="00217C4B" w:rsidP="00217C4B">
            <w:pPr>
              <w:jc w:val="center"/>
            </w:pPr>
          </w:p>
        </w:tc>
        <w:tc>
          <w:tcPr>
            <w:tcW w:w="2046" w:type="dxa"/>
            <w:vAlign w:val="center"/>
          </w:tcPr>
          <w:p w:rsidR="00217C4B" w:rsidRDefault="00217C4B" w:rsidP="00217C4B">
            <w:pPr>
              <w:jc w:val="center"/>
            </w:pPr>
          </w:p>
        </w:tc>
      </w:tr>
      <w:tr w:rsidR="00217C4B" w:rsidTr="00F96065">
        <w:tc>
          <w:tcPr>
            <w:tcW w:w="5353" w:type="dxa"/>
          </w:tcPr>
          <w:p w:rsidR="00217C4B" w:rsidRDefault="00217C4B" w:rsidP="009F74AC">
            <w:r>
              <w:t>Net Interest Payable at Fixed Rates</w:t>
            </w:r>
          </w:p>
        </w:tc>
        <w:tc>
          <w:tcPr>
            <w:tcW w:w="1843" w:type="dxa"/>
            <w:vAlign w:val="center"/>
          </w:tcPr>
          <w:p w:rsidR="00217C4B" w:rsidRDefault="00217C4B" w:rsidP="00217C4B">
            <w:pPr>
              <w:jc w:val="center"/>
            </w:pPr>
            <w:r>
              <w:t>37.6</w:t>
            </w:r>
          </w:p>
        </w:tc>
        <w:tc>
          <w:tcPr>
            <w:tcW w:w="2046" w:type="dxa"/>
            <w:vAlign w:val="center"/>
          </w:tcPr>
          <w:p w:rsidR="00217C4B" w:rsidRDefault="00217C4B" w:rsidP="00217C4B">
            <w:pPr>
              <w:jc w:val="center"/>
            </w:pPr>
            <w:r>
              <w:t>-1.7</w:t>
            </w:r>
          </w:p>
        </w:tc>
      </w:tr>
      <w:tr w:rsidR="00217C4B" w:rsidTr="00F96065">
        <w:tc>
          <w:tcPr>
            <w:tcW w:w="5353" w:type="dxa"/>
          </w:tcPr>
          <w:p w:rsidR="00217C4B" w:rsidRDefault="00217C4B" w:rsidP="009F74AC">
            <w:r>
              <w:t>Net Interest Payable at Variable Rates</w:t>
            </w:r>
          </w:p>
        </w:tc>
        <w:tc>
          <w:tcPr>
            <w:tcW w:w="1843" w:type="dxa"/>
            <w:vAlign w:val="center"/>
          </w:tcPr>
          <w:p w:rsidR="00217C4B" w:rsidRDefault="00D71B54" w:rsidP="00217C4B">
            <w:pPr>
              <w:jc w:val="center"/>
            </w:pPr>
            <w:r>
              <w:t xml:space="preserve">  </w:t>
            </w:r>
            <w:r w:rsidR="00217C4B">
              <w:t>5.0</w:t>
            </w:r>
          </w:p>
        </w:tc>
        <w:tc>
          <w:tcPr>
            <w:tcW w:w="2046" w:type="dxa"/>
            <w:vAlign w:val="center"/>
          </w:tcPr>
          <w:p w:rsidR="00217C4B" w:rsidRDefault="00217C4B" w:rsidP="00217C4B">
            <w:pPr>
              <w:jc w:val="center"/>
            </w:pPr>
            <w:r>
              <w:t>1.3</w:t>
            </w:r>
          </w:p>
        </w:tc>
      </w:tr>
      <w:tr w:rsidR="00217C4B" w:rsidTr="00F96065">
        <w:tc>
          <w:tcPr>
            <w:tcW w:w="5353" w:type="dxa"/>
          </w:tcPr>
          <w:p w:rsidR="00217C4B" w:rsidRDefault="00217C4B" w:rsidP="009F74AC">
            <w:r>
              <w:t>One year impact of a 1% rise in rates</w:t>
            </w:r>
          </w:p>
        </w:tc>
        <w:tc>
          <w:tcPr>
            <w:tcW w:w="1843" w:type="dxa"/>
            <w:vAlign w:val="center"/>
          </w:tcPr>
          <w:p w:rsidR="00217C4B" w:rsidRDefault="00217C4B" w:rsidP="00217C4B">
            <w:pPr>
              <w:jc w:val="center"/>
            </w:pPr>
            <w:r>
              <w:t>25.0</w:t>
            </w:r>
          </w:p>
        </w:tc>
        <w:tc>
          <w:tcPr>
            <w:tcW w:w="2046" w:type="dxa"/>
            <w:vAlign w:val="center"/>
          </w:tcPr>
          <w:p w:rsidR="00217C4B" w:rsidRDefault="00217C4B" w:rsidP="00217C4B">
            <w:pPr>
              <w:jc w:val="center"/>
            </w:pPr>
            <w:r>
              <w:t>2.8</w:t>
            </w:r>
          </w:p>
        </w:tc>
      </w:tr>
    </w:tbl>
    <w:p w:rsidR="009F74AC" w:rsidRPr="009214FB" w:rsidRDefault="009F74AC" w:rsidP="009F74AC"/>
    <w:p w:rsidR="009F74AC" w:rsidRPr="009214FB" w:rsidRDefault="009F74AC" w:rsidP="009F74AC"/>
    <w:tbl>
      <w:tblPr>
        <w:tblW w:w="12222" w:type="dxa"/>
        <w:tblInd w:w="108" w:type="dxa"/>
        <w:tblLayout w:type="fixed"/>
        <w:tblLook w:val="0000" w:firstRow="0" w:lastRow="0" w:firstColumn="0" w:lastColumn="0" w:noHBand="0" w:noVBand="0"/>
      </w:tblPr>
      <w:tblGrid>
        <w:gridCol w:w="9214"/>
        <w:gridCol w:w="1764"/>
        <w:gridCol w:w="1244"/>
      </w:tblGrid>
      <w:tr w:rsidR="009F74AC" w:rsidRPr="009214FB" w:rsidTr="009F74AC">
        <w:tc>
          <w:tcPr>
            <w:tcW w:w="9214" w:type="dxa"/>
          </w:tcPr>
          <w:p w:rsidR="009E48A6" w:rsidRDefault="009F74AC" w:rsidP="00D71B7D">
            <w:pPr>
              <w:pStyle w:val="ListParagraph"/>
              <w:numPr>
                <w:ilvl w:val="0"/>
                <w:numId w:val="33"/>
              </w:numPr>
              <w:tabs>
                <w:tab w:val="left" w:pos="3285"/>
              </w:tabs>
              <w:spacing w:after="120" w:line="276" w:lineRule="auto"/>
              <w:rPr>
                <w:b/>
              </w:rPr>
            </w:pPr>
            <w:r w:rsidRPr="009214FB">
              <w:rPr>
                <w:b/>
              </w:rPr>
              <w:t>Maturity structure of debt</w:t>
            </w:r>
          </w:p>
          <w:p w:rsidR="009E48A6" w:rsidRDefault="009E48A6" w:rsidP="009E48A6">
            <w:pPr>
              <w:pStyle w:val="ListParagraph"/>
              <w:tabs>
                <w:tab w:val="left" w:pos="3285"/>
              </w:tabs>
              <w:spacing w:after="120" w:line="276" w:lineRule="auto"/>
              <w:ind w:left="-108"/>
              <w:rPr>
                <w:b/>
              </w:rPr>
            </w:pPr>
          </w:p>
          <w:p w:rsidR="009F74AC" w:rsidRPr="009E48A6" w:rsidRDefault="009E48A6" w:rsidP="009E48A6">
            <w:pPr>
              <w:pStyle w:val="ListParagraph"/>
              <w:tabs>
                <w:tab w:val="left" w:pos="3285"/>
              </w:tabs>
              <w:spacing w:after="120" w:line="276" w:lineRule="auto"/>
              <w:ind w:left="-108"/>
            </w:pPr>
            <w:r w:rsidRPr="009E48A6">
              <w:t>Limits on the maturity structure of debt help control refinancing risk</w:t>
            </w:r>
            <w:r w:rsidRPr="009E48A6">
              <w:tab/>
            </w:r>
          </w:p>
        </w:tc>
        <w:tc>
          <w:tcPr>
            <w:tcW w:w="1764" w:type="dxa"/>
          </w:tcPr>
          <w:p w:rsidR="009F74AC" w:rsidRPr="009214FB" w:rsidRDefault="009F74AC" w:rsidP="009F74AC">
            <w:pPr>
              <w:tabs>
                <w:tab w:val="decimal" w:pos="882"/>
              </w:tabs>
              <w:spacing w:after="240"/>
              <w:rPr>
                <w:caps/>
              </w:rPr>
            </w:pPr>
          </w:p>
        </w:tc>
        <w:tc>
          <w:tcPr>
            <w:tcW w:w="1244" w:type="dxa"/>
          </w:tcPr>
          <w:p w:rsidR="009F74AC" w:rsidRPr="009214FB" w:rsidRDefault="009F74AC" w:rsidP="009F74AC">
            <w:pPr>
              <w:tabs>
                <w:tab w:val="decimal" w:pos="882"/>
              </w:tabs>
              <w:spacing w:after="240"/>
              <w:rPr>
                <w:caps/>
              </w:rPr>
            </w:pPr>
          </w:p>
        </w:tc>
      </w:tr>
      <w:tr w:rsidR="009F74AC" w:rsidRPr="009214FB" w:rsidTr="009F74AC">
        <w:trPr>
          <w:cantSplit/>
        </w:trPr>
        <w:tc>
          <w:tcPr>
            <w:tcW w:w="12222" w:type="dxa"/>
            <w:gridSpan w:val="3"/>
          </w:tcPr>
          <w:tbl>
            <w:tblPr>
              <w:tblStyle w:val="TableGrid"/>
              <w:tblpPr w:leftFromText="180" w:rightFromText="180" w:vertAnchor="page" w:horzAnchor="page" w:tblpX="375"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7"/>
              <w:gridCol w:w="424"/>
              <w:gridCol w:w="1419"/>
              <w:gridCol w:w="282"/>
              <w:gridCol w:w="1277"/>
              <w:gridCol w:w="282"/>
              <w:gridCol w:w="1419"/>
              <w:gridCol w:w="282"/>
            </w:tblGrid>
            <w:tr w:rsidR="009F74AC" w:rsidRPr="009214FB" w:rsidTr="009E48A6">
              <w:trPr>
                <w:gridAfter w:val="1"/>
                <w:wAfter w:w="282" w:type="dxa"/>
              </w:trPr>
              <w:tc>
                <w:tcPr>
                  <w:tcW w:w="2837" w:type="dxa"/>
                </w:tcPr>
                <w:p w:rsidR="009F74AC" w:rsidRPr="009214FB" w:rsidRDefault="009F74AC" w:rsidP="009F74AC">
                  <w:pPr>
                    <w:tabs>
                      <w:tab w:val="left" w:pos="342"/>
                    </w:tabs>
                    <w:spacing w:after="120"/>
                  </w:pPr>
                </w:p>
              </w:tc>
              <w:tc>
                <w:tcPr>
                  <w:tcW w:w="1843" w:type="dxa"/>
                  <w:gridSpan w:val="2"/>
                </w:tcPr>
                <w:p w:rsidR="009F74AC" w:rsidRPr="009214FB" w:rsidRDefault="009F74AC" w:rsidP="009F74AC">
                  <w:pPr>
                    <w:tabs>
                      <w:tab w:val="left" w:pos="342"/>
                    </w:tabs>
                    <w:spacing w:after="120"/>
                    <w:jc w:val="center"/>
                  </w:pPr>
                  <w:r w:rsidRPr="009214FB">
                    <w:t>Lower Limit %</w:t>
                  </w:r>
                </w:p>
              </w:tc>
              <w:tc>
                <w:tcPr>
                  <w:tcW w:w="1559" w:type="dxa"/>
                  <w:gridSpan w:val="2"/>
                </w:tcPr>
                <w:p w:rsidR="009F74AC" w:rsidRPr="009214FB" w:rsidRDefault="009F74AC" w:rsidP="009F74AC">
                  <w:pPr>
                    <w:tabs>
                      <w:tab w:val="left" w:pos="342"/>
                    </w:tabs>
                    <w:spacing w:after="120"/>
                    <w:jc w:val="center"/>
                  </w:pPr>
                  <w:r w:rsidRPr="009214FB">
                    <w:t>Upper Limit %</w:t>
                  </w:r>
                </w:p>
              </w:tc>
              <w:tc>
                <w:tcPr>
                  <w:tcW w:w="1701" w:type="dxa"/>
                  <w:gridSpan w:val="2"/>
                </w:tcPr>
                <w:p w:rsidR="009F74AC" w:rsidRPr="009214FB" w:rsidRDefault="00F96065" w:rsidP="00F96065">
                  <w:pPr>
                    <w:tabs>
                      <w:tab w:val="left" w:pos="342"/>
                    </w:tabs>
                    <w:spacing w:after="120"/>
                    <w:jc w:val="center"/>
                  </w:pPr>
                  <w:r>
                    <w:t>Dec 2013</w:t>
                  </w:r>
                </w:p>
              </w:tc>
            </w:tr>
            <w:tr w:rsidR="009F74AC" w:rsidRPr="009214FB" w:rsidTr="009E48A6">
              <w:trPr>
                <w:gridAfter w:val="1"/>
                <w:wAfter w:w="282" w:type="dxa"/>
              </w:trPr>
              <w:tc>
                <w:tcPr>
                  <w:tcW w:w="2837" w:type="dxa"/>
                </w:tcPr>
                <w:p w:rsidR="009F74AC" w:rsidRPr="009214FB" w:rsidRDefault="009F74AC" w:rsidP="009F74AC">
                  <w:pPr>
                    <w:tabs>
                      <w:tab w:val="left" w:pos="342"/>
                    </w:tabs>
                    <w:spacing w:after="120"/>
                  </w:pPr>
                  <w:r w:rsidRPr="009214FB">
                    <w:t>Under 12 months</w:t>
                  </w:r>
                </w:p>
              </w:tc>
              <w:tc>
                <w:tcPr>
                  <w:tcW w:w="1843"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F74AC" w:rsidP="009F74AC">
                  <w:pPr>
                    <w:tabs>
                      <w:tab w:val="left" w:pos="342"/>
                    </w:tabs>
                    <w:spacing w:after="120"/>
                    <w:jc w:val="center"/>
                  </w:pPr>
                  <w:r w:rsidRPr="009214FB">
                    <w:t>75</w:t>
                  </w:r>
                </w:p>
              </w:tc>
              <w:tc>
                <w:tcPr>
                  <w:tcW w:w="1701" w:type="dxa"/>
                  <w:gridSpan w:val="2"/>
                </w:tcPr>
                <w:p w:rsidR="009F74AC" w:rsidRPr="009214FB" w:rsidRDefault="00F96065" w:rsidP="009F74AC">
                  <w:pPr>
                    <w:tabs>
                      <w:tab w:val="left" w:pos="342"/>
                    </w:tabs>
                    <w:spacing w:after="120"/>
                    <w:jc w:val="center"/>
                  </w:pPr>
                  <w:r>
                    <w:t>9</w:t>
                  </w:r>
                </w:p>
              </w:tc>
            </w:tr>
            <w:tr w:rsidR="009F74AC" w:rsidRPr="009214FB" w:rsidTr="009E48A6">
              <w:tc>
                <w:tcPr>
                  <w:tcW w:w="3261" w:type="dxa"/>
                  <w:gridSpan w:val="2"/>
                </w:tcPr>
                <w:p w:rsidR="009F74AC" w:rsidRPr="009214FB" w:rsidRDefault="009F74AC" w:rsidP="009E48A6">
                  <w:pPr>
                    <w:tabs>
                      <w:tab w:val="left" w:pos="342"/>
                    </w:tabs>
                    <w:spacing w:after="120"/>
                    <w:ind w:right="-390"/>
                  </w:pPr>
                  <w:r w:rsidRPr="009214FB">
                    <w:t>12 months and within 2 years</w:t>
                  </w:r>
                </w:p>
              </w:tc>
              <w:tc>
                <w:tcPr>
                  <w:tcW w:w="1701"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E48A6" w:rsidP="009E48A6">
                  <w:pPr>
                    <w:tabs>
                      <w:tab w:val="left" w:pos="342"/>
                    </w:tabs>
                    <w:spacing w:after="120"/>
                  </w:pPr>
                  <w:r>
                    <w:t xml:space="preserve">    </w:t>
                  </w:r>
                  <w:r w:rsidR="009F74AC" w:rsidRPr="009214FB">
                    <w:t>75</w:t>
                  </w:r>
                </w:p>
              </w:tc>
              <w:tc>
                <w:tcPr>
                  <w:tcW w:w="1701" w:type="dxa"/>
                  <w:gridSpan w:val="2"/>
                </w:tcPr>
                <w:p w:rsidR="009F74AC" w:rsidRPr="009214FB" w:rsidRDefault="009E48A6" w:rsidP="009E48A6">
                  <w:pPr>
                    <w:tabs>
                      <w:tab w:val="left" w:pos="342"/>
                    </w:tabs>
                    <w:spacing w:after="120"/>
                  </w:pPr>
                  <w:r>
                    <w:t xml:space="preserve">    </w:t>
                  </w:r>
                  <w:r w:rsidR="00F96065">
                    <w:t>43</w:t>
                  </w:r>
                </w:p>
              </w:tc>
            </w:tr>
            <w:tr w:rsidR="009F74AC" w:rsidRPr="009214FB" w:rsidTr="009E48A6">
              <w:trPr>
                <w:gridAfter w:val="1"/>
                <w:wAfter w:w="282" w:type="dxa"/>
              </w:trPr>
              <w:tc>
                <w:tcPr>
                  <w:tcW w:w="2837" w:type="dxa"/>
                </w:tcPr>
                <w:p w:rsidR="009F74AC" w:rsidRPr="009214FB" w:rsidRDefault="009F74AC" w:rsidP="009E48A6">
                  <w:pPr>
                    <w:tabs>
                      <w:tab w:val="left" w:pos="342"/>
                    </w:tabs>
                    <w:spacing w:after="120"/>
                  </w:pPr>
                  <w:r w:rsidRPr="009214FB">
                    <w:t>2 years and within 5</w:t>
                  </w:r>
                  <w:r w:rsidR="009E48A6">
                    <w:t xml:space="preserve"> </w:t>
                  </w:r>
                  <w:r w:rsidRPr="009214FB">
                    <w:t>years</w:t>
                  </w:r>
                </w:p>
              </w:tc>
              <w:tc>
                <w:tcPr>
                  <w:tcW w:w="1843"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F74AC" w:rsidP="009F74AC">
                  <w:pPr>
                    <w:tabs>
                      <w:tab w:val="left" w:pos="342"/>
                    </w:tabs>
                    <w:spacing w:after="120"/>
                    <w:jc w:val="center"/>
                  </w:pPr>
                  <w:r w:rsidRPr="009214FB">
                    <w:t>75</w:t>
                  </w:r>
                </w:p>
              </w:tc>
              <w:tc>
                <w:tcPr>
                  <w:tcW w:w="1701" w:type="dxa"/>
                  <w:gridSpan w:val="2"/>
                </w:tcPr>
                <w:p w:rsidR="009F74AC" w:rsidRPr="009214FB" w:rsidRDefault="00F96065" w:rsidP="009F74AC">
                  <w:pPr>
                    <w:tabs>
                      <w:tab w:val="left" w:pos="342"/>
                    </w:tabs>
                    <w:spacing w:after="120"/>
                    <w:jc w:val="center"/>
                  </w:pPr>
                  <w:r>
                    <w:t>6</w:t>
                  </w:r>
                </w:p>
              </w:tc>
            </w:tr>
            <w:tr w:rsidR="009F74AC" w:rsidRPr="009214FB" w:rsidTr="009E48A6">
              <w:trPr>
                <w:gridAfter w:val="1"/>
                <w:wAfter w:w="282" w:type="dxa"/>
              </w:trPr>
              <w:tc>
                <w:tcPr>
                  <w:tcW w:w="2837" w:type="dxa"/>
                </w:tcPr>
                <w:p w:rsidR="009F74AC" w:rsidRPr="009214FB" w:rsidRDefault="009F74AC" w:rsidP="009F74AC">
                  <w:pPr>
                    <w:tabs>
                      <w:tab w:val="left" w:pos="342"/>
                    </w:tabs>
                    <w:spacing w:after="120"/>
                  </w:pPr>
                  <w:r w:rsidRPr="009214FB">
                    <w:t>5 years and within 10 years</w:t>
                  </w:r>
                </w:p>
              </w:tc>
              <w:tc>
                <w:tcPr>
                  <w:tcW w:w="1843" w:type="dxa"/>
                  <w:gridSpan w:val="2"/>
                </w:tcPr>
                <w:p w:rsidR="009F74AC" w:rsidRPr="009214FB" w:rsidRDefault="009F74AC" w:rsidP="009F74AC">
                  <w:pPr>
                    <w:tabs>
                      <w:tab w:val="left" w:pos="342"/>
                    </w:tabs>
                    <w:spacing w:after="120"/>
                    <w:jc w:val="center"/>
                  </w:pPr>
                </w:p>
              </w:tc>
              <w:tc>
                <w:tcPr>
                  <w:tcW w:w="1559" w:type="dxa"/>
                  <w:gridSpan w:val="2"/>
                </w:tcPr>
                <w:p w:rsidR="009F74AC" w:rsidRPr="009214FB" w:rsidRDefault="009F74AC" w:rsidP="009F74AC">
                  <w:pPr>
                    <w:tabs>
                      <w:tab w:val="left" w:pos="342"/>
                    </w:tabs>
                    <w:spacing w:after="120"/>
                    <w:jc w:val="center"/>
                  </w:pPr>
                  <w:r w:rsidRPr="009214FB">
                    <w:t>75</w:t>
                  </w:r>
                </w:p>
              </w:tc>
              <w:tc>
                <w:tcPr>
                  <w:tcW w:w="1701" w:type="dxa"/>
                  <w:gridSpan w:val="2"/>
                </w:tcPr>
                <w:p w:rsidR="009F74AC" w:rsidRPr="009214FB" w:rsidRDefault="00F96065" w:rsidP="009F74AC">
                  <w:pPr>
                    <w:tabs>
                      <w:tab w:val="left" w:pos="342"/>
                    </w:tabs>
                    <w:spacing w:after="120"/>
                    <w:jc w:val="center"/>
                  </w:pPr>
                  <w:r>
                    <w:t>8</w:t>
                  </w:r>
                </w:p>
              </w:tc>
            </w:tr>
            <w:tr w:rsidR="009F74AC" w:rsidRPr="009214FB" w:rsidTr="009E48A6">
              <w:trPr>
                <w:gridAfter w:val="1"/>
                <w:wAfter w:w="282" w:type="dxa"/>
              </w:trPr>
              <w:tc>
                <w:tcPr>
                  <w:tcW w:w="2837" w:type="dxa"/>
                </w:tcPr>
                <w:p w:rsidR="009F74AC" w:rsidRPr="009214FB" w:rsidRDefault="009F74AC" w:rsidP="009F74AC">
                  <w:pPr>
                    <w:tabs>
                      <w:tab w:val="left" w:pos="342"/>
                    </w:tabs>
                    <w:spacing w:after="120"/>
                  </w:pPr>
                  <w:r w:rsidRPr="009214FB">
                    <w:t>10 years and above</w:t>
                  </w:r>
                </w:p>
              </w:tc>
              <w:tc>
                <w:tcPr>
                  <w:tcW w:w="1843" w:type="dxa"/>
                  <w:gridSpan w:val="2"/>
                </w:tcPr>
                <w:p w:rsidR="009F74AC" w:rsidRPr="009214FB" w:rsidRDefault="009F74AC" w:rsidP="009F74AC">
                  <w:pPr>
                    <w:tabs>
                      <w:tab w:val="left" w:pos="342"/>
                    </w:tabs>
                    <w:spacing w:after="120"/>
                    <w:jc w:val="center"/>
                  </w:pPr>
                  <w:r w:rsidRPr="009214FB">
                    <w:t>25</w:t>
                  </w:r>
                </w:p>
              </w:tc>
              <w:tc>
                <w:tcPr>
                  <w:tcW w:w="1559" w:type="dxa"/>
                  <w:gridSpan w:val="2"/>
                </w:tcPr>
                <w:p w:rsidR="009F74AC" w:rsidRPr="009214FB" w:rsidRDefault="009F74AC" w:rsidP="009F74AC">
                  <w:pPr>
                    <w:tabs>
                      <w:tab w:val="left" w:pos="342"/>
                    </w:tabs>
                    <w:spacing w:after="120"/>
                    <w:jc w:val="center"/>
                  </w:pPr>
                  <w:r w:rsidRPr="009214FB">
                    <w:t>100</w:t>
                  </w:r>
                </w:p>
              </w:tc>
              <w:tc>
                <w:tcPr>
                  <w:tcW w:w="1701" w:type="dxa"/>
                  <w:gridSpan w:val="2"/>
                </w:tcPr>
                <w:p w:rsidR="009F74AC" w:rsidRPr="009214FB" w:rsidRDefault="00F96065" w:rsidP="009F74AC">
                  <w:pPr>
                    <w:tabs>
                      <w:tab w:val="left" w:pos="342"/>
                    </w:tabs>
                    <w:spacing w:after="120"/>
                    <w:jc w:val="center"/>
                  </w:pPr>
                  <w:r>
                    <w:t>34</w:t>
                  </w:r>
                </w:p>
              </w:tc>
            </w:tr>
          </w:tbl>
          <w:p w:rsidR="009F74AC" w:rsidRPr="009214FB" w:rsidRDefault="009F74AC" w:rsidP="009F74AC">
            <w:pPr>
              <w:tabs>
                <w:tab w:val="left" w:pos="342"/>
              </w:tabs>
              <w:spacing w:after="120"/>
              <w:ind w:left="342"/>
            </w:pPr>
          </w:p>
        </w:tc>
      </w:tr>
    </w:tbl>
    <w:p w:rsidR="00160FAC" w:rsidRPr="009214FB" w:rsidRDefault="00160FAC" w:rsidP="009F74AC"/>
    <w:p w:rsidR="009F74AC" w:rsidRPr="009214FB" w:rsidRDefault="009F74AC" w:rsidP="009F74AC"/>
    <w:p w:rsidR="009F74AC" w:rsidRPr="009214FB" w:rsidRDefault="009F74AC" w:rsidP="00D71B7D">
      <w:pPr>
        <w:pStyle w:val="ListParagraph"/>
        <w:numPr>
          <w:ilvl w:val="0"/>
          <w:numId w:val="33"/>
        </w:numPr>
        <w:tabs>
          <w:tab w:val="left" w:pos="0"/>
        </w:tabs>
        <w:spacing w:after="200" w:line="276" w:lineRule="auto"/>
        <w:rPr>
          <w:b/>
          <w:color w:val="000000"/>
        </w:rPr>
      </w:pPr>
      <w:r w:rsidRPr="009214FB">
        <w:rPr>
          <w:b/>
          <w:color w:val="000000"/>
        </w:rPr>
        <w:t>Investments over 36</w:t>
      </w:r>
      <w:r w:rsidR="00B2212E" w:rsidRPr="009214FB">
        <w:rPr>
          <w:b/>
          <w:color w:val="000000"/>
        </w:rPr>
        <w:t>4</w:t>
      </w:r>
      <w:r w:rsidRPr="009214FB">
        <w:rPr>
          <w:b/>
          <w:color w:val="000000"/>
        </w:rPr>
        <w:t xml:space="preserve"> days</w:t>
      </w:r>
    </w:p>
    <w:p w:rsidR="009E48A6" w:rsidRDefault="009E48A6" w:rsidP="009F74AC">
      <w:pPr>
        <w:rPr>
          <w:color w:val="000000"/>
        </w:rPr>
      </w:pPr>
      <w:r>
        <w:rPr>
          <w:color w:val="000000"/>
        </w:rPr>
        <w:t>Limits on the level of long term investments helps to control liquidity, although the majority of these investments are held in available for sale securities.</w:t>
      </w:r>
    </w:p>
    <w:p w:rsidR="009F74AC" w:rsidRPr="009214FB" w:rsidRDefault="009E48A6" w:rsidP="009F74AC">
      <w:pPr>
        <w:rPr>
          <w:color w:val="000000"/>
        </w:rPr>
      </w:pPr>
      <w:r>
        <w:rPr>
          <w:color w:val="000000"/>
        </w:rPr>
        <w:t xml:space="preserve"> </w:t>
      </w:r>
    </w:p>
    <w:tbl>
      <w:tblPr>
        <w:tblStyle w:val="TableGrid"/>
        <w:tblW w:w="0" w:type="auto"/>
        <w:jc w:val="center"/>
        <w:tblInd w:w="-1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1276"/>
        <w:gridCol w:w="1276"/>
      </w:tblGrid>
      <w:tr w:rsidR="009F74AC" w:rsidRPr="009214FB" w:rsidTr="009F74AC">
        <w:trPr>
          <w:jc w:val="center"/>
        </w:trPr>
        <w:tc>
          <w:tcPr>
            <w:tcW w:w="4476" w:type="dxa"/>
          </w:tcPr>
          <w:p w:rsidR="009F74AC" w:rsidRPr="009214FB" w:rsidRDefault="009F74AC" w:rsidP="009F74AC">
            <w:pPr>
              <w:rPr>
                <w:color w:val="000000"/>
              </w:rPr>
            </w:pPr>
          </w:p>
        </w:tc>
        <w:tc>
          <w:tcPr>
            <w:tcW w:w="1276" w:type="dxa"/>
            <w:vAlign w:val="center"/>
          </w:tcPr>
          <w:p w:rsidR="009F74AC" w:rsidRPr="00160FAC" w:rsidRDefault="009F74AC" w:rsidP="009F74AC">
            <w:pPr>
              <w:jc w:val="center"/>
              <w:rPr>
                <w:color w:val="000000"/>
              </w:rPr>
            </w:pPr>
            <w:r w:rsidRPr="00160FAC">
              <w:rPr>
                <w:color w:val="000000"/>
              </w:rPr>
              <w:t>Upper limit</w:t>
            </w:r>
          </w:p>
        </w:tc>
        <w:tc>
          <w:tcPr>
            <w:tcW w:w="1276" w:type="dxa"/>
            <w:vAlign w:val="center"/>
          </w:tcPr>
          <w:p w:rsidR="009F74AC" w:rsidRPr="00160FAC" w:rsidRDefault="00F96065" w:rsidP="009F74AC">
            <w:pPr>
              <w:jc w:val="center"/>
              <w:rPr>
                <w:color w:val="000000"/>
              </w:rPr>
            </w:pPr>
            <w:r w:rsidRPr="00160FAC">
              <w:rPr>
                <w:color w:val="000000"/>
              </w:rPr>
              <w:t>Dec 2013</w:t>
            </w:r>
          </w:p>
        </w:tc>
      </w:tr>
      <w:tr w:rsidR="009F74AC" w:rsidRPr="009214FB" w:rsidTr="009F74AC">
        <w:trPr>
          <w:jc w:val="center"/>
        </w:trPr>
        <w:tc>
          <w:tcPr>
            <w:tcW w:w="4476" w:type="dxa"/>
          </w:tcPr>
          <w:p w:rsidR="009F74AC" w:rsidRPr="009214FB" w:rsidRDefault="009F74AC" w:rsidP="009F74AC">
            <w:pPr>
              <w:rPr>
                <w:color w:val="000000"/>
              </w:rPr>
            </w:pPr>
          </w:p>
        </w:tc>
        <w:tc>
          <w:tcPr>
            <w:tcW w:w="1276" w:type="dxa"/>
            <w:vAlign w:val="center"/>
          </w:tcPr>
          <w:p w:rsidR="009F74AC" w:rsidRPr="00160FAC" w:rsidRDefault="009F74AC" w:rsidP="009F74AC">
            <w:pPr>
              <w:jc w:val="center"/>
              <w:rPr>
                <w:color w:val="000000"/>
              </w:rPr>
            </w:pPr>
            <w:r w:rsidRPr="00160FAC">
              <w:rPr>
                <w:color w:val="000000"/>
              </w:rPr>
              <w:t>£m</w:t>
            </w:r>
          </w:p>
        </w:tc>
        <w:tc>
          <w:tcPr>
            <w:tcW w:w="1276" w:type="dxa"/>
            <w:vAlign w:val="center"/>
          </w:tcPr>
          <w:p w:rsidR="009F74AC" w:rsidRPr="00160FAC" w:rsidRDefault="00F96065" w:rsidP="009F74AC">
            <w:pPr>
              <w:jc w:val="center"/>
              <w:rPr>
                <w:color w:val="000000"/>
              </w:rPr>
            </w:pPr>
            <w:r w:rsidRPr="00160FAC">
              <w:rPr>
                <w:color w:val="000000"/>
              </w:rPr>
              <w:t>£m</w:t>
            </w:r>
          </w:p>
        </w:tc>
      </w:tr>
      <w:tr w:rsidR="009F74AC" w:rsidRPr="009214FB" w:rsidTr="009F74AC">
        <w:trPr>
          <w:jc w:val="center"/>
        </w:trPr>
        <w:tc>
          <w:tcPr>
            <w:tcW w:w="4476" w:type="dxa"/>
          </w:tcPr>
          <w:p w:rsidR="009F74AC" w:rsidRPr="009214FB" w:rsidRDefault="009F74AC" w:rsidP="009F74AC">
            <w:pPr>
              <w:rPr>
                <w:color w:val="000000"/>
              </w:rPr>
            </w:pPr>
          </w:p>
        </w:tc>
        <w:tc>
          <w:tcPr>
            <w:tcW w:w="1276" w:type="dxa"/>
          </w:tcPr>
          <w:p w:rsidR="009F74AC" w:rsidRPr="009214FB" w:rsidRDefault="009F74AC" w:rsidP="009F74AC">
            <w:pPr>
              <w:jc w:val="center"/>
              <w:rPr>
                <w:color w:val="000000"/>
              </w:rPr>
            </w:pPr>
          </w:p>
        </w:tc>
        <w:tc>
          <w:tcPr>
            <w:tcW w:w="1276" w:type="dxa"/>
          </w:tcPr>
          <w:p w:rsidR="009F74AC" w:rsidRPr="009214FB" w:rsidRDefault="009F74AC" w:rsidP="009F74AC">
            <w:pPr>
              <w:jc w:val="center"/>
              <w:rPr>
                <w:color w:val="000000"/>
              </w:rPr>
            </w:pPr>
          </w:p>
        </w:tc>
      </w:tr>
      <w:tr w:rsidR="009F74AC" w:rsidRPr="009214FB" w:rsidTr="009F74AC">
        <w:trPr>
          <w:jc w:val="center"/>
        </w:trPr>
        <w:tc>
          <w:tcPr>
            <w:tcW w:w="4476" w:type="dxa"/>
          </w:tcPr>
          <w:p w:rsidR="009F74AC" w:rsidRPr="009214FB" w:rsidRDefault="009F74AC" w:rsidP="009F74AC">
            <w:pPr>
              <w:rPr>
                <w:color w:val="000000"/>
              </w:rPr>
            </w:pPr>
            <w:r w:rsidRPr="009214FB">
              <w:rPr>
                <w:color w:val="000000"/>
              </w:rPr>
              <w:t>Total invested over 364 days</w:t>
            </w:r>
          </w:p>
        </w:tc>
        <w:tc>
          <w:tcPr>
            <w:tcW w:w="1276" w:type="dxa"/>
          </w:tcPr>
          <w:p w:rsidR="009F74AC" w:rsidRPr="009214FB" w:rsidRDefault="00B2212E" w:rsidP="009F74AC">
            <w:pPr>
              <w:jc w:val="center"/>
              <w:rPr>
                <w:color w:val="000000"/>
              </w:rPr>
            </w:pPr>
            <w:r w:rsidRPr="009214FB">
              <w:rPr>
                <w:color w:val="000000"/>
              </w:rPr>
              <w:t>600</w:t>
            </w:r>
          </w:p>
        </w:tc>
        <w:tc>
          <w:tcPr>
            <w:tcW w:w="1276" w:type="dxa"/>
          </w:tcPr>
          <w:p w:rsidR="009F74AC" w:rsidRPr="009214FB" w:rsidRDefault="00F96065" w:rsidP="009F74AC">
            <w:pPr>
              <w:jc w:val="center"/>
              <w:rPr>
                <w:color w:val="000000" w:themeColor="text1"/>
                <w:highlight w:val="yellow"/>
              </w:rPr>
            </w:pPr>
            <w:r w:rsidRPr="009418EC">
              <w:rPr>
                <w:color w:val="000000" w:themeColor="text1"/>
              </w:rPr>
              <w:t>562</w:t>
            </w:r>
          </w:p>
        </w:tc>
      </w:tr>
      <w:tr w:rsidR="009F74AC" w:rsidRPr="009214FB" w:rsidTr="009F74AC">
        <w:trPr>
          <w:jc w:val="center"/>
        </w:trPr>
        <w:tc>
          <w:tcPr>
            <w:tcW w:w="4476" w:type="dxa"/>
          </w:tcPr>
          <w:p w:rsidR="009F74AC" w:rsidRPr="009214FB" w:rsidRDefault="009F74AC" w:rsidP="009F74AC">
            <w:pPr>
              <w:rPr>
                <w:color w:val="000000"/>
              </w:rPr>
            </w:pPr>
          </w:p>
          <w:p w:rsidR="009E48A6" w:rsidRPr="009214FB" w:rsidRDefault="009E48A6" w:rsidP="009F74AC">
            <w:pPr>
              <w:rPr>
                <w:color w:val="000000"/>
              </w:rPr>
            </w:pPr>
          </w:p>
        </w:tc>
        <w:tc>
          <w:tcPr>
            <w:tcW w:w="1276" w:type="dxa"/>
          </w:tcPr>
          <w:p w:rsidR="009F74AC" w:rsidRPr="009214FB" w:rsidRDefault="009F74AC" w:rsidP="009F74AC">
            <w:pPr>
              <w:jc w:val="center"/>
              <w:rPr>
                <w:color w:val="000000"/>
              </w:rPr>
            </w:pPr>
          </w:p>
        </w:tc>
        <w:tc>
          <w:tcPr>
            <w:tcW w:w="1276" w:type="dxa"/>
          </w:tcPr>
          <w:p w:rsidR="009F74AC" w:rsidRPr="009214FB" w:rsidRDefault="009F74AC" w:rsidP="009F74AC">
            <w:pPr>
              <w:jc w:val="center"/>
              <w:rPr>
                <w:color w:val="000000"/>
              </w:rPr>
            </w:pPr>
          </w:p>
        </w:tc>
      </w:tr>
    </w:tbl>
    <w:p w:rsidR="009F74AC" w:rsidRDefault="009F74AC" w:rsidP="00D71B7D">
      <w:pPr>
        <w:pStyle w:val="ListParagraph"/>
        <w:numPr>
          <w:ilvl w:val="0"/>
          <w:numId w:val="33"/>
        </w:numPr>
        <w:tabs>
          <w:tab w:val="left" w:pos="0"/>
        </w:tabs>
        <w:spacing w:after="200" w:line="276" w:lineRule="auto"/>
        <w:rPr>
          <w:b/>
          <w:color w:val="000000"/>
        </w:rPr>
      </w:pPr>
      <w:r w:rsidRPr="009214FB">
        <w:rPr>
          <w:b/>
          <w:color w:val="000000"/>
        </w:rPr>
        <w:t>Minimum Average Credit Rating</w:t>
      </w:r>
    </w:p>
    <w:p w:rsidR="009E48A6" w:rsidRDefault="009E48A6" w:rsidP="009F74AC">
      <w:pPr>
        <w:pStyle w:val="ListParagraph"/>
        <w:tabs>
          <w:tab w:val="left" w:pos="0"/>
        </w:tabs>
        <w:spacing w:after="200" w:line="276" w:lineRule="auto"/>
        <w:ind w:left="0"/>
        <w:rPr>
          <w:b/>
          <w:color w:val="000000"/>
        </w:rPr>
      </w:pPr>
    </w:p>
    <w:p w:rsidR="007F6754" w:rsidRPr="009E48A6" w:rsidRDefault="007F6754" w:rsidP="009F74AC">
      <w:pPr>
        <w:pStyle w:val="ListParagraph"/>
        <w:tabs>
          <w:tab w:val="left" w:pos="0"/>
        </w:tabs>
        <w:spacing w:after="200" w:line="276" w:lineRule="auto"/>
        <w:ind w:left="0"/>
        <w:rPr>
          <w:color w:val="000000"/>
        </w:rPr>
      </w:pPr>
      <w:r w:rsidRPr="009E48A6">
        <w:rPr>
          <w:color w:val="000000"/>
        </w:rPr>
        <w:t>To control credit risk the County Council requires a very high credit rating from its treasury counterparties</w:t>
      </w:r>
    </w:p>
    <w:tbl>
      <w:tblPr>
        <w:tblStyle w:val="TableGrid"/>
        <w:tblW w:w="0" w:type="auto"/>
        <w:jc w:val="center"/>
        <w:tblInd w:w="-1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1430"/>
        <w:gridCol w:w="1276"/>
      </w:tblGrid>
      <w:tr w:rsidR="009F74AC" w:rsidRPr="009214FB" w:rsidTr="009F74AC">
        <w:trPr>
          <w:jc w:val="center"/>
        </w:trPr>
        <w:tc>
          <w:tcPr>
            <w:tcW w:w="4476" w:type="dxa"/>
          </w:tcPr>
          <w:p w:rsidR="009F74AC" w:rsidRPr="009214FB" w:rsidRDefault="009F74AC" w:rsidP="009F74AC">
            <w:pPr>
              <w:rPr>
                <w:color w:val="000000"/>
              </w:rPr>
            </w:pPr>
          </w:p>
        </w:tc>
        <w:tc>
          <w:tcPr>
            <w:tcW w:w="1276" w:type="dxa"/>
            <w:vAlign w:val="center"/>
          </w:tcPr>
          <w:p w:rsidR="009F74AC" w:rsidRPr="00160FAC" w:rsidRDefault="009F74AC" w:rsidP="009F74AC">
            <w:pPr>
              <w:jc w:val="center"/>
              <w:rPr>
                <w:color w:val="000000"/>
              </w:rPr>
            </w:pPr>
            <w:r w:rsidRPr="00160FAC">
              <w:rPr>
                <w:color w:val="000000"/>
              </w:rPr>
              <w:t>Benchmark</w:t>
            </w:r>
          </w:p>
        </w:tc>
        <w:tc>
          <w:tcPr>
            <w:tcW w:w="1276" w:type="dxa"/>
            <w:vAlign w:val="center"/>
          </w:tcPr>
          <w:p w:rsidR="009F74AC" w:rsidRPr="00160FAC" w:rsidRDefault="00F96065" w:rsidP="009F74AC">
            <w:pPr>
              <w:jc w:val="center"/>
              <w:rPr>
                <w:color w:val="000000"/>
              </w:rPr>
            </w:pPr>
            <w:r w:rsidRPr="00160FAC">
              <w:rPr>
                <w:color w:val="000000"/>
              </w:rPr>
              <w:t>Dec 2013</w:t>
            </w:r>
          </w:p>
        </w:tc>
      </w:tr>
      <w:tr w:rsidR="009F74AC" w:rsidRPr="009214FB" w:rsidTr="009F74AC">
        <w:trPr>
          <w:jc w:val="center"/>
        </w:trPr>
        <w:tc>
          <w:tcPr>
            <w:tcW w:w="4476" w:type="dxa"/>
          </w:tcPr>
          <w:p w:rsidR="009F74AC" w:rsidRPr="009214FB" w:rsidRDefault="009F74AC" w:rsidP="009F74AC">
            <w:pPr>
              <w:rPr>
                <w:color w:val="000000"/>
              </w:rPr>
            </w:pPr>
          </w:p>
        </w:tc>
        <w:tc>
          <w:tcPr>
            <w:tcW w:w="1276" w:type="dxa"/>
          </w:tcPr>
          <w:p w:rsidR="009F74AC" w:rsidRPr="009214FB" w:rsidRDefault="009F74AC" w:rsidP="009F74AC">
            <w:pPr>
              <w:jc w:val="center"/>
              <w:rPr>
                <w:color w:val="000000"/>
              </w:rPr>
            </w:pPr>
          </w:p>
        </w:tc>
        <w:tc>
          <w:tcPr>
            <w:tcW w:w="1276" w:type="dxa"/>
          </w:tcPr>
          <w:p w:rsidR="009F74AC" w:rsidRPr="009214FB" w:rsidRDefault="009F74AC" w:rsidP="009F74AC">
            <w:pPr>
              <w:jc w:val="center"/>
              <w:rPr>
                <w:color w:val="000000"/>
              </w:rPr>
            </w:pPr>
          </w:p>
        </w:tc>
      </w:tr>
      <w:tr w:rsidR="009F74AC" w:rsidRPr="009214FB" w:rsidTr="009F74AC">
        <w:trPr>
          <w:jc w:val="center"/>
        </w:trPr>
        <w:tc>
          <w:tcPr>
            <w:tcW w:w="4476" w:type="dxa"/>
          </w:tcPr>
          <w:p w:rsidR="009F74AC" w:rsidRPr="009214FB" w:rsidRDefault="009F74AC" w:rsidP="009F74AC">
            <w:pPr>
              <w:rPr>
                <w:color w:val="000000"/>
              </w:rPr>
            </w:pPr>
            <w:r w:rsidRPr="009214FB">
              <w:rPr>
                <w:color w:val="000000"/>
              </w:rPr>
              <w:t>Average counterparty credit rating</w:t>
            </w:r>
          </w:p>
        </w:tc>
        <w:tc>
          <w:tcPr>
            <w:tcW w:w="1276" w:type="dxa"/>
          </w:tcPr>
          <w:p w:rsidR="009F74AC" w:rsidRPr="009214FB" w:rsidRDefault="009F74AC" w:rsidP="009F74AC">
            <w:pPr>
              <w:jc w:val="center"/>
              <w:rPr>
                <w:color w:val="000000"/>
              </w:rPr>
            </w:pPr>
            <w:r w:rsidRPr="009214FB">
              <w:rPr>
                <w:color w:val="000000"/>
              </w:rPr>
              <w:t>A+</w:t>
            </w:r>
          </w:p>
        </w:tc>
        <w:tc>
          <w:tcPr>
            <w:tcW w:w="1276" w:type="dxa"/>
          </w:tcPr>
          <w:p w:rsidR="009F74AC" w:rsidRPr="009214FB" w:rsidRDefault="00F96065" w:rsidP="009F74AC">
            <w:pPr>
              <w:jc w:val="center"/>
              <w:rPr>
                <w:color w:val="000000"/>
              </w:rPr>
            </w:pPr>
            <w:r>
              <w:rPr>
                <w:color w:val="000000"/>
              </w:rPr>
              <w:t>AA</w:t>
            </w:r>
          </w:p>
        </w:tc>
      </w:tr>
    </w:tbl>
    <w:p w:rsidR="009F74AC" w:rsidRPr="009214FB" w:rsidRDefault="009F74AC" w:rsidP="009F74AC"/>
    <w:p w:rsidR="009F74AC" w:rsidRPr="009214FB" w:rsidRDefault="009F74AC" w:rsidP="009F74AC"/>
    <w:p w:rsidR="00D610E1" w:rsidRDefault="00D610E1" w:rsidP="009F74AC">
      <w:pPr>
        <w:pStyle w:val="ListParagraph"/>
        <w:spacing w:after="200" w:line="276" w:lineRule="auto"/>
        <w:ind w:left="0"/>
        <w:rPr>
          <w:b/>
          <w:color w:val="000000"/>
        </w:rPr>
      </w:pPr>
    </w:p>
    <w:p w:rsidR="00D610E1" w:rsidRDefault="00D610E1" w:rsidP="009F74AC">
      <w:pPr>
        <w:pStyle w:val="ListParagraph"/>
        <w:spacing w:after="200" w:line="276" w:lineRule="auto"/>
        <w:ind w:left="0"/>
        <w:rPr>
          <w:b/>
          <w:color w:val="000000"/>
        </w:rPr>
      </w:pPr>
    </w:p>
    <w:p w:rsidR="009F74AC" w:rsidRDefault="00D610E1" w:rsidP="00D71B7D">
      <w:pPr>
        <w:pStyle w:val="ListParagraph"/>
        <w:numPr>
          <w:ilvl w:val="0"/>
          <w:numId w:val="33"/>
        </w:numPr>
        <w:spacing w:after="200" w:line="276" w:lineRule="auto"/>
        <w:rPr>
          <w:b/>
          <w:color w:val="000000"/>
        </w:rPr>
      </w:pPr>
      <w:r>
        <w:rPr>
          <w:b/>
          <w:color w:val="000000"/>
        </w:rPr>
        <w:t>Daily Liquidity</w:t>
      </w:r>
    </w:p>
    <w:p w:rsidR="00D610E1" w:rsidRDefault="00D610E1" w:rsidP="009F74AC">
      <w:pPr>
        <w:pStyle w:val="ListParagraph"/>
        <w:spacing w:after="200" w:line="276" w:lineRule="auto"/>
        <w:ind w:left="0"/>
        <w:rPr>
          <w:b/>
          <w:color w:val="000000"/>
        </w:rPr>
      </w:pPr>
    </w:p>
    <w:p w:rsidR="00D610E1" w:rsidRPr="009E48A6" w:rsidRDefault="00D610E1" w:rsidP="004A3F15">
      <w:pPr>
        <w:pStyle w:val="ListParagraph"/>
        <w:spacing w:after="200" w:line="276" w:lineRule="auto"/>
        <w:ind w:left="0"/>
        <w:jc w:val="both"/>
        <w:rPr>
          <w:color w:val="000000"/>
        </w:rPr>
      </w:pPr>
      <w:r w:rsidRPr="009E48A6">
        <w:rPr>
          <w:color w:val="000000"/>
        </w:rPr>
        <w:t xml:space="preserve">In the absence of an overdraft facility the County Council aims to maintain a daily liquidity balance on call of £20m. Other liquidity can be provided by short term borrowing or the sale of available for sale financial instruments. </w:t>
      </w:r>
    </w:p>
    <w:p w:rsidR="009F74AC" w:rsidRPr="009214FB" w:rsidRDefault="009F74AC" w:rsidP="009F74AC">
      <w:pPr>
        <w:rPr>
          <w:color w:val="000000"/>
        </w:rPr>
      </w:pPr>
    </w:p>
    <w:tbl>
      <w:tblPr>
        <w:tblStyle w:val="TableGrid"/>
        <w:tblW w:w="0" w:type="auto"/>
        <w:jc w:val="center"/>
        <w:tblInd w:w="-1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1591"/>
        <w:gridCol w:w="1276"/>
      </w:tblGrid>
      <w:tr w:rsidR="009F74AC" w:rsidRPr="009214FB" w:rsidTr="00B2212E">
        <w:trPr>
          <w:jc w:val="center"/>
        </w:trPr>
        <w:tc>
          <w:tcPr>
            <w:tcW w:w="4476" w:type="dxa"/>
          </w:tcPr>
          <w:p w:rsidR="009F74AC" w:rsidRPr="009214FB" w:rsidRDefault="009F74AC" w:rsidP="009F74AC">
            <w:pPr>
              <w:rPr>
                <w:color w:val="000000"/>
              </w:rPr>
            </w:pPr>
          </w:p>
        </w:tc>
        <w:tc>
          <w:tcPr>
            <w:tcW w:w="1439" w:type="dxa"/>
            <w:vAlign w:val="center"/>
          </w:tcPr>
          <w:p w:rsidR="009F74AC" w:rsidRPr="00160FAC" w:rsidRDefault="00F96065" w:rsidP="009F74AC">
            <w:pPr>
              <w:jc w:val="center"/>
              <w:rPr>
                <w:color w:val="000000"/>
              </w:rPr>
            </w:pPr>
            <w:r w:rsidRPr="00160FAC">
              <w:rPr>
                <w:color w:val="000000"/>
              </w:rPr>
              <w:t>Minimum</w:t>
            </w:r>
          </w:p>
        </w:tc>
        <w:tc>
          <w:tcPr>
            <w:tcW w:w="1276" w:type="dxa"/>
            <w:vAlign w:val="center"/>
          </w:tcPr>
          <w:p w:rsidR="009F74AC" w:rsidRPr="00160FAC" w:rsidRDefault="00F96065" w:rsidP="009F74AC">
            <w:pPr>
              <w:jc w:val="center"/>
              <w:rPr>
                <w:color w:val="000000"/>
              </w:rPr>
            </w:pPr>
            <w:r w:rsidRPr="00160FAC">
              <w:rPr>
                <w:color w:val="000000"/>
              </w:rPr>
              <w:t>Dec 2013</w:t>
            </w:r>
          </w:p>
        </w:tc>
      </w:tr>
      <w:tr w:rsidR="00B2212E" w:rsidRPr="009214FB" w:rsidTr="00B2212E">
        <w:trPr>
          <w:jc w:val="center"/>
        </w:trPr>
        <w:tc>
          <w:tcPr>
            <w:tcW w:w="4476" w:type="dxa"/>
          </w:tcPr>
          <w:p w:rsidR="00B2212E" w:rsidRPr="009214FB" w:rsidRDefault="00B2212E" w:rsidP="009214FB">
            <w:pPr>
              <w:rPr>
                <w:color w:val="000000"/>
              </w:rPr>
            </w:pPr>
          </w:p>
        </w:tc>
        <w:tc>
          <w:tcPr>
            <w:tcW w:w="1439" w:type="dxa"/>
            <w:vAlign w:val="center"/>
          </w:tcPr>
          <w:p w:rsidR="00B2212E" w:rsidRPr="00160FAC" w:rsidRDefault="00B2212E" w:rsidP="009214FB">
            <w:pPr>
              <w:jc w:val="center"/>
              <w:rPr>
                <w:color w:val="000000"/>
              </w:rPr>
            </w:pPr>
            <w:r w:rsidRPr="00160FAC">
              <w:rPr>
                <w:color w:val="000000"/>
              </w:rPr>
              <w:t>Requirement</w:t>
            </w:r>
          </w:p>
        </w:tc>
        <w:tc>
          <w:tcPr>
            <w:tcW w:w="1276" w:type="dxa"/>
            <w:vAlign w:val="center"/>
          </w:tcPr>
          <w:p w:rsidR="00B2212E" w:rsidRPr="00160FAC" w:rsidRDefault="00B2212E" w:rsidP="009F74AC">
            <w:pPr>
              <w:jc w:val="center"/>
              <w:rPr>
                <w:color w:val="000000"/>
              </w:rPr>
            </w:pPr>
          </w:p>
        </w:tc>
      </w:tr>
      <w:tr w:rsidR="00B2212E" w:rsidRPr="009214FB" w:rsidTr="00B2212E">
        <w:trPr>
          <w:jc w:val="center"/>
        </w:trPr>
        <w:tc>
          <w:tcPr>
            <w:tcW w:w="4476" w:type="dxa"/>
          </w:tcPr>
          <w:p w:rsidR="00B2212E" w:rsidRPr="009214FB" w:rsidRDefault="00B2212E" w:rsidP="009214FB">
            <w:pPr>
              <w:rPr>
                <w:color w:val="000000"/>
              </w:rPr>
            </w:pPr>
          </w:p>
        </w:tc>
        <w:tc>
          <w:tcPr>
            <w:tcW w:w="1439" w:type="dxa"/>
            <w:vAlign w:val="center"/>
          </w:tcPr>
          <w:p w:rsidR="00B2212E" w:rsidRPr="00160FAC" w:rsidRDefault="00B2212E" w:rsidP="009214FB">
            <w:pPr>
              <w:jc w:val="center"/>
              <w:rPr>
                <w:color w:val="000000"/>
              </w:rPr>
            </w:pPr>
            <w:r w:rsidRPr="00160FAC">
              <w:rPr>
                <w:color w:val="000000"/>
              </w:rPr>
              <w:t>£m</w:t>
            </w:r>
          </w:p>
        </w:tc>
        <w:tc>
          <w:tcPr>
            <w:tcW w:w="1276" w:type="dxa"/>
          </w:tcPr>
          <w:p w:rsidR="00B2212E" w:rsidRPr="00160FAC" w:rsidRDefault="00F96065" w:rsidP="009F74AC">
            <w:pPr>
              <w:jc w:val="center"/>
            </w:pPr>
            <w:r w:rsidRPr="00160FAC">
              <w:t>£m</w:t>
            </w:r>
          </w:p>
        </w:tc>
      </w:tr>
      <w:tr w:rsidR="00B2212E" w:rsidRPr="009214FB" w:rsidTr="00B2212E">
        <w:trPr>
          <w:jc w:val="center"/>
        </w:trPr>
        <w:tc>
          <w:tcPr>
            <w:tcW w:w="4476" w:type="dxa"/>
          </w:tcPr>
          <w:p w:rsidR="00B2212E" w:rsidRPr="009214FB" w:rsidRDefault="00F96065" w:rsidP="009214FB">
            <w:pPr>
              <w:rPr>
                <w:color w:val="000000"/>
              </w:rPr>
            </w:pPr>
            <w:r>
              <w:rPr>
                <w:color w:val="000000"/>
              </w:rPr>
              <w:t>Cash maintained on call</w:t>
            </w:r>
          </w:p>
        </w:tc>
        <w:tc>
          <w:tcPr>
            <w:tcW w:w="1439" w:type="dxa"/>
          </w:tcPr>
          <w:p w:rsidR="00B2212E" w:rsidRPr="009214FB" w:rsidRDefault="00F96065" w:rsidP="009214FB">
            <w:pPr>
              <w:jc w:val="center"/>
              <w:rPr>
                <w:color w:val="000000"/>
              </w:rPr>
            </w:pPr>
            <w:r>
              <w:rPr>
                <w:color w:val="000000"/>
              </w:rPr>
              <w:t>20</w:t>
            </w:r>
          </w:p>
          <w:p w:rsidR="00B2212E" w:rsidRPr="009214FB" w:rsidRDefault="00B2212E" w:rsidP="009214FB">
            <w:pPr>
              <w:jc w:val="center"/>
              <w:rPr>
                <w:color w:val="000000"/>
              </w:rPr>
            </w:pPr>
          </w:p>
        </w:tc>
        <w:tc>
          <w:tcPr>
            <w:tcW w:w="1276" w:type="dxa"/>
          </w:tcPr>
          <w:p w:rsidR="00B2212E" w:rsidRDefault="00F96065" w:rsidP="009F74AC">
            <w:pPr>
              <w:jc w:val="center"/>
              <w:rPr>
                <w:color w:val="000000"/>
              </w:rPr>
            </w:pPr>
            <w:r>
              <w:rPr>
                <w:color w:val="000000"/>
              </w:rPr>
              <w:t>19</w:t>
            </w:r>
          </w:p>
          <w:p w:rsidR="00F96065" w:rsidRPr="009214FB" w:rsidRDefault="00F96065" w:rsidP="009F74AC">
            <w:pPr>
              <w:jc w:val="center"/>
              <w:rPr>
                <w:color w:val="000000"/>
              </w:rPr>
            </w:pPr>
          </w:p>
        </w:tc>
      </w:tr>
      <w:tr w:rsidR="00B2212E" w:rsidRPr="009214FB" w:rsidTr="00B2212E">
        <w:trPr>
          <w:jc w:val="center"/>
        </w:trPr>
        <w:tc>
          <w:tcPr>
            <w:tcW w:w="4476" w:type="dxa"/>
          </w:tcPr>
          <w:p w:rsidR="00B2212E" w:rsidRPr="009214FB" w:rsidRDefault="00B2212E" w:rsidP="009F74AC">
            <w:pPr>
              <w:rPr>
                <w:color w:val="000000"/>
              </w:rPr>
            </w:pPr>
          </w:p>
        </w:tc>
        <w:tc>
          <w:tcPr>
            <w:tcW w:w="1439" w:type="dxa"/>
          </w:tcPr>
          <w:p w:rsidR="00B2212E" w:rsidRPr="009214FB" w:rsidRDefault="00B2212E" w:rsidP="009F74AC">
            <w:pPr>
              <w:jc w:val="center"/>
              <w:rPr>
                <w:color w:val="000000"/>
              </w:rPr>
            </w:pPr>
          </w:p>
        </w:tc>
        <w:tc>
          <w:tcPr>
            <w:tcW w:w="1276" w:type="dxa"/>
          </w:tcPr>
          <w:p w:rsidR="00B2212E" w:rsidRPr="009214FB" w:rsidRDefault="00B2212E" w:rsidP="009F74AC">
            <w:pPr>
              <w:jc w:val="center"/>
              <w:rPr>
                <w:color w:val="000000"/>
              </w:rPr>
            </w:pPr>
          </w:p>
        </w:tc>
      </w:tr>
    </w:tbl>
    <w:p w:rsidR="009F74AC" w:rsidRPr="00455EBD" w:rsidRDefault="009F74AC" w:rsidP="009F74AC">
      <w:pPr>
        <w:rPr>
          <w:color w:val="000000"/>
        </w:rPr>
      </w:pPr>
    </w:p>
    <w:sectPr w:rsidR="009F74AC" w:rsidRPr="00455EBD" w:rsidSect="00C5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F0CDFC"/>
    <w:lvl w:ilvl="0">
      <w:numFmt w:val="decimal"/>
      <w:lvlText w:val="*"/>
      <w:lvlJc w:val="left"/>
      <w:rPr>
        <w:rFonts w:cs="Times New Roman"/>
      </w:rPr>
    </w:lvl>
  </w:abstractNum>
  <w:abstractNum w:abstractNumId="1">
    <w:nsid w:val="032C57CD"/>
    <w:multiLevelType w:val="hybridMultilevel"/>
    <w:tmpl w:val="4AB2F47A"/>
    <w:lvl w:ilvl="0" w:tplc="7B3AE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F7312"/>
    <w:multiLevelType w:val="hybridMultilevel"/>
    <w:tmpl w:val="B49C3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A86965"/>
    <w:multiLevelType w:val="hybridMultilevel"/>
    <w:tmpl w:val="AD80A86E"/>
    <w:lvl w:ilvl="0" w:tplc="F398D8A8">
      <w:start w:val="1"/>
      <w:numFmt w:val="lowerLetter"/>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E6606B0"/>
    <w:multiLevelType w:val="hybridMultilevel"/>
    <w:tmpl w:val="58E84118"/>
    <w:lvl w:ilvl="0" w:tplc="C8C0E58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C9272B"/>
    <w:multiLevelType w:val="hybridMultilevel"/>
    <w:tmpl w:val="6CBA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772E9"/>
    <w:multiLevelType w:val="hybridMultilevel"/>
    <w:tmpl w:val="3B0CB1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9E6AF7"/>
    <w:multiLevelType w:val="hybridMultilevel"/>
    <w:tmpl w:val="868409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136A7FFA"/>
    <w:multiLevelType w:val="hybridMultilevel"/>
    <w:tmpl w:val="59C8B2DE"/>
    <w:lvl w:ilvl="0" w:tplc="47CCD47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BE0D07"/>
    <w:multiLevelType w:val="hybridMultilevel"/>
    <w:tmpl w:val="E7069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B1560A"/>
    <w:multiLevelType w:val="hybridMultilevel"/>
    <w:tmpl w:val="24C8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F458B7"/>
    <w:multiLevelType w:val="hybridMultilevel"/>
    <w:tmpl w:val="4AB2F47A"/>
    <w:lvl w:ilvl="0" w:tplc="7B3AE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AE62EE"/>
    <w:multiLevelType w:val="hybridMultilevel"/>
    <w:tmpl w:val="4AB2F47A"/>
    <w:lvl w:ilvl="0" w:tplc="7B3AE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1A50B3"/>
    <w:multiLevelType w:val="hybridMultilevel"/>
    <w:tmpl w:val="2968EC56"/>
    <w:lvl w:ilvl="0" w:tplc="C8C0E5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4362E7"/>
    <w:multiLevelType w:val="hybridMultilevel"/>
    <w:tmpl w:val="736C87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BC157FF"/>
    <w:multiLevelType w:val="hybridMultilevel"/>
    <w:tmpl w:val="49CA3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EA47A0"/>
    <w:multiLevelType w:val="multilevel"/>
    <w:tmpl w:val="15361C90"/>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37D4745D"/>
    <w:multiLevelType w:val="hybridMultilevel"/>
    <w:tmpl w:val="D1729F24"/>
    <w:lvl w:ilvl="0" w:tplc="2438E694">
      <w:start w:val="1"/>
      <w:numFmt w:val="bullet"/>
      <w:lvlText w:val=""/>
      <w:legacy w:legacy="1" w:legacySpace="0" w:legacyIndent="283"/>
      <w:lvlJc w:val="left"/>
      <w:pPr>
        <w:ind w:left="1363" w:hanging="283"/>
      </w:pPr>
      <w:rPr>
        <w:rFonts w:ascii="Symbol" w:hAnsi="Symbol" w:hint="default"/>
        <w:sz w:val="12"/>
        <w:szCs w:val="1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94B2F8B"/>
    <w:multiLevelType w:val="hybridMultilevel"/>
    <w:tmpl w:val="373C5250"/>
    <w:lvl w:ilvl="0" w:tplc="7B3AE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E724C2"/>
    <w:multiLevelType w:val="hybridMultilevel"/>
    <w:tmpl w:val="3C04E8B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AB73280"/>
    <w:multiLevelType w:val="hybridMultilevel"/>
    <w:tmpl w:val="9ABA5EE4"/>
    <w:lvl w:ilvl="0" w:tplc="47CCD47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09C5DEC"/>
    <w:multiLevelType w:val="hybridMultilevel"/>
    <w:tmpl w:val="C490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CE5F6B"/>
    <w:multiLevelType w:val="hybridMultilevel"/>
    <w:tmpl w:val="0C3827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67712E3"/>
    <w:multiLevelType w:val="multilevel"/>
    <w:tmpl w:val="5270F5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9864CAB"/>
    <w:multiLevelType w:val="hybridMultilevel"/>
    <w:tmpl w:val="4AB2F47A"/>
    <w:lvl w:ilvl="0" w:tplc="7B3AE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171FAA"/>
    <w:multiLevelType w:val="hybridMultilevel"/>
    <w:tmpl w:val="D0AA99DC"/>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AA6FBD"/>
    <w:multiLevelType w:val="hybridMultilevel"/>
    <w:tmpl w:val="F496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EB48D6"/>
    <w:multiLevelType w:val="hybridMultilevel"/>
    <w:tmpl w:val="2108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610344"/>
    <w:multiLevelType w:val="hybridMultilevel"/>
    <w:tmpl w:val="8DD259D2"/>
    <w:lvl w:ilvl="0" w:tplc="27B0D5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AD77D4"/>
    <w:multiLevelType w:val="multilevel"/>
    <w:tmpl w:val="A67453AE"/>
    <w:styleLink w:val="List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0">
    <w:nsid w:val="6F1A0ED5"/>
    <w:multiLevelType w:val="hybridMultilevel"/>
    <w:tmpl w:val="4770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902300"/>
    <w:multiLevelType w:val="hybridMultilevel"/>
    <w:tmpl w:val="CCBCBED8"/>
    <w:lvl w:ilvl="0" w:tplc="22F0CDFC">
      <w:start w:val="1"/>
      <w:numFmt w:val="bullet"/>
      <w:lvlText w:val=""/>
      <w:legacy w:legacy="1" w:legacySpace="0" w:legacyIndent="283"/>
      <w:lvlJc w:val="left"/>
      <w:pPr>
        <w:ind w:left="993" w:hanging="283"/>
      </w:pPr>
      <w:rPr>
        <w:rFonts w:ascii="Symbol" w:hAnsi="Symbol" w:hint="default"/>
        <w:sz w:val="18"/>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6"/>
  </w:num>
  <w:num w:numId="2">
    <w:abstractNumId w:val="4"/>
  </w:num>
  <w:num w:numId="3">
    <w:abstractNumId w:val="10"/>
  </w:num>
  <w:num w:numId="4">
    <w:abstractNumId w:val="22"/>
  </w:num>
  <w:num w:numId="5">
    <w:abstractNumId w:val="19"/>
  </w:num>
  <w:num w:numId="6">
    <w:abstractNumId w:val="3"/>
  </w:num>
  <w:num w:numId="7">
    <w:abstractNumId w:val="26"/>
  </w:num>
  <w:num w:numId="8">
    <w:abstractNumId w:val="15"/>
  </w:num>
  <w:num w:numId="9">
    <w:abstractNumId w:val="5"/>
  </w:num>
  <w:num w:numId="10">
    <w:abstractNumId w:val="0"/>
    <w:lvlOverride w:ilvl="0">
      <w:lvl w:ilvl="0">
        <w:start w:val="1"/>
        <w:numFmt w:val="bullet"/>
        <w:lvlText w:val=""/>
        <w:legacy w:legacy="1" w:legacySpace="0" w:legacyIndent="283"/>
        <w:lvlJc w:val="left"/>
        <w:pPr>
          <w:ind w:left="567" w:hanging="283"/>
        </w:pPr>
        <w:rPr>
          <w:rFonts w:ascii="Symbol" w:hAnsi="Symbol" w:hint="default"/>
          <w:sz w:val="18"/>
        </w:rPr>
      </w:lvl>
    </w:lvlOverride>
  </w:num>
  <w:num w:numId="11">
    <w:abstractNumId w:val="31"/>
  </w:num>
  <w:num w:numId="12">
    <w:abstractNumId w:val="21"/>
  </w:num>
  <w:num w:numId="13">
    <w:abstractNumId w:val="13"/>
  </w:num>
  <w:num w:numId="14">
    <w:abstractNumId w:val="23"/>
  </w:num>
  <w:num w:numId="15">
    <w:abstractNumId w:val="8"/>
  </w:num>
  <w:num w:numId="16">
    <w:abstractNumId w:val="20"/>
  </w:num>
  <w:num w:numId="17">
    <w:abstractNumId w:val="28"/>
  </w:num>
  <w:num w:numId="18">
    <w:abstractNumId w:val="25"/>
  </w:num>
  <w:num w:numId="19">
    <w:abstractNumId w:val="28"/>
  </w:num>
  <w:num w:numId="20">
    <w:abstractNumId w:val="2"/>
  </w:num>
  <w:num w:numId="21">
    <w:abstractNumId w:val="2"/>
  </w:num>
  <w:num w:numId="22">
    <w:abstractNumId w:val="30"/>
  </w:num>
  <w:num w:numId="23">
    <w:abstractNumId w:val="9"/>
  </w:num>
  <w:num w:numId="24">
    <w:abstractNumId w:val="27"/>
  </w:num>
  <w:num w:numId="25">
    <w:abstractNumId w:val="17"/>
  </w:num>
  <w:num w:numId="26">
    <w:abstractNumId w:val="7"/>
  </w:num>
  <w:num w:numId="27">
    <w:abstractNumId w:val="29"/>
  </w:num>
  <w:num w:numId="28">
    <w:abstractNumId w:val="14"/>
  </w:num>
  <w:num w:numId="29">
    <w:abstractNumId w:val="12"/>
  </w:num>
  <w:num w:numId="30">
    <w:abstractNumId w:val="24"/>
  </w:num>
  <w:num w:numId="31">
    <w:abstractNumId w:val="1"/>
  </w:num>
  <w:num w:numId="32">
    <w:abstractNumId w:val="11"/>
  </w:num>
  <w:num w:numId="33">
    <w:abstractNumId w:val="18"/>
  </w:num>
  <w:num w:numId="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0B"/>
    <w:rsid w:val="00003932"/>
    <w:rsid w:val="000045EE"/>
    <w:rsid w:val="000137DB"/>
    <w:rsid w:val="00013E6E"/>
    <w:rsid w:val="00015456"/>
    <w:rsid w:val="00020C9B"/>
    <w:rsid w:val="00025990"/>
    <w:rsid w:val="00034F77"/>
    <w:rsid w:val="00040C37"/>
    <w:rsid w:val="00043D64"/>
    <w:rsid w:val="00045B6D"/>
    <w:rsid w:val="00050670"/>
    <w:rsid w:val="000577C2"/>
    <w:rsid w:val="000662B7"/>
    <w:rsid w:val="00066A7F"/>
    <w:rsid w:val="0007216A"/>
    <w:rsid w:val="00094F92"/>
    <w:rsid w:val="000A1B41"/>
    <w:rsid w:val="000A2B50"/>
    <w:rsid w:val="000A32E8"/>
    <w:rsid w:val="000A34E6"/>
    <w:rsid w:val="000A38B2"/>
    <w:rsid w:val="000A7B0E"/>
    <w:rsid w:val="000B3BFA"/>
    <w:rsid w:val="000B45FB"/>
    <w:rsid w:val="000C0F2E"/>
    <w:rsid w:val="000D5627"/>
    <w:rsid w:val="000D587C"/>
    <w:rsid w:val="000E0C11"/>
    <w:rsid w:val="000F049F"/>
    <w:rsid w:val="000F416A"/>
    <w:rsid w:val="00102C37"/>
    <w:rsid w:val="00104469"/>
    <w:rsid w:val="0010793C"/>
    <w:rsid w:val="001143BB"/>
    <w:rsid w:val="00115DEE"/>
    <w:rsid w:val="0011617A"/>
    <w:rsid w:val="001252FD"/>
    <w:rsid w:val="00131620"/>
    <w:rsid w:val="00135024"/>
    <w:rsid w:val="00144D3A"/>
    <w:rsid w:val="00147C07"/>
    <w:rsid w:val="00160FAC"/>
    <w:rsid w:val="00186B71"/>
    <w:rsid w:val="00186E6A"/>
    <w:rsid w:val="001A4DF0"/>
    <w:rsid w:val="001D044B"/>
    <w:rsid w:val="001D2E3E"/>
    <w:rsid w:val="001D57D4"/>
    <w:rsid w:val="001E7AC1"/>
    <w:rsid w:val="00207092"/>
    <w:rsid w:val="00215560"/>
    <w:rsid w:val="00217C4B"/>
    <w:rsid w:val="00221A79"/>
    <w:rsid w:val="002441D8"/>
    <w:rsid w:val="00245D33"/>
    <w:rsid w:val="002465A9"/>
    <w:rsid w:val="002466E3"/>
    <w:rsid w:val="00256318"/>
    <w:rsid w:val="002774AB"/>
    <w:rsid w:val="00277CAC"/>
    <w:rsid w:val="00277FA2"/>
    <w:rsid w:val="00284EC1"/>
    <w:rsid w:val="00287A55"/>
    <w:rsid w:val="002925C3"/>
    <w:rsid w:val="002A48EA"/>
    <w:rsid w:val="002B3D4E"/>
    <w:rsid w:val="002C5EAE"/>
    <w:rsid w:val="002D3D61"/>
    <w:rsid w:val="002D7F4A"/>
    <w:rsid w:val="0031185E"/>
    <w:rsid w:val="0032528C"/>
    <w:rsid w:val="00347417"/>
    <w:rsid w:val="0035055B"/>
    <w:rsid w:val="00351436"/>
    <w:rsid w:val="003547A1"/>
    <w:rsid w:val="003651A7"/>
    <w:rsid w:val="003668C4"/>
    <w:rsid w:val="003700CA"/>
    <w:rsid w:val="00382F7B"/>
    <w:rsid w:val="00392C2F"/>
    <w:rsid w:val="003B1751"/>
    <w:rsid w:val="003E0E9B"/>
    <w:rsid w:val="003E2EC5"/>
    <w:rsid w:val="003F6C29"/>
    <w:rsid w:val="0040630B"/>
    <w:rsid w:val="00415705"/>
    <w:rsid w:val="004158C2"/>
    <w:rsid w:val="004202A7"/>
    <w:rsid w:val="00420D7F"/>
    <w:rsid w:val="004504AA"/>
    <w:rsid w:val="00451200"/>
    <w:rsid w:val="00457B03"/>
    <w:rsid w:val="00461946"/>
    <w:rsid w:val="00464224"/>
    <w:rsid w:val="00467DD3"/>
    <w:rsid w:val="00477AA3"/>
    <w:rsid w:val="004810B8"/>
    <w:rsid w:val="004905D2"/>
    <w:rsid w:val="004917B9"/>
    <w:rsid w:val="004A19C1"/>
    <w:rsid w:val="004A3F15"/>
    <w:rsid w:val="004B2FE8"/>
    <w:rsid w:val="004B52FC"/>
    <w:rsid w:val="004B547C"/>
    <w:rsid w:val="004E6BA7"/>
    <w:rsid w:val="004F3510"/>
    <w:rsid w:val="004F7B09"/>
    <w:rsid w:val="00504445"/>
    <w:rsid w:val="0050649D"/>
    <w:rsid w:val="005078E0"/>
    <w:rsid w:val="00507F04"/>
    <w:rsid w:val="00532776"/>
    <w:rsid w:val="00536BC9"/>
    <w:rsid w:val="00540D1B"/>
    <w:rsid w:val="00550AB8"/>
    <w:rsid w:val="005535A9"/>
    <w:rsid w:val="005545B4"/>
    <w:rsid w:val="0055635A"/>
    <w:rsid w:val="00561181"/>
    <w:rsid w:val="005741FA"/>
    <w:rsid w:val="00574AC0"/>
    <w:rsid w:val="00575BB9"/>
    <w:rsid w:val="00582642"/>
    <w:rsid w:val="00585345"/>
    <w:rsid w:val="00593AA7"/>
    <w:rsid w:val="005A1A62"/>
    <w:rsid w:val="005A220A"/>
    <w:rsid w:val="005B03D2"/>
    <w:rsid w:val="005B473A"/>
    <w:rsid w:val="005C318E"/>
    <w:rsid w:val="005F7FAC"/>
    <w:rsid w:val="00603141"/>
    <w:rsid w:val="00603B8C"/>
    <w:rsid w:val="006129AB"/>
    <w:rsid w:val="0061799F"/>
    <w:rsid w:val="0062021D"/>
    <w:rsid w:val="006264D2"/>
    <w:rsid w:val="00633767"/>
    <w:rsid w:val="00633DE5"/>
    <w:rsid w:val="00650616"/>
    <w:rsid w:val="00651301"/>
    <w:rsid w:val="00653E6F"/>
    <w:rsid w:val="00661B29"/>
    <w:rsid w:val="0068326C"/>
    <w:rsid w:val="006842DD"/>
    <w:rsid w:val="006971B7"/>
    <w:rsid w:val="006B61C7"/>
    <w:rsid w:val="006C35ED"/>
    <w:rsid w:val="006D1BD4"/>
    <w:rsid w:val="006D1BFA"/>
    <w:rsid w:val="006D3396"/>
    <w:rsid w:val="006F5953"/>
    <w:rsid w:val="0070104C"/>
    <w:rsid w:val="007079C4"/>
    <w:rsid w:val="0071599D"/>
    <w:rsid w:val="00720AD0"/>
    <w:rsid w:val="00734A64"/>
    <w:rsid w:val="00741879"/>
    <w:rsid w:val="00754DE2"/>
    <w:rsid w:val="00755F06"/>
    <w:rsid w:val="007936C3"/>
    <w:rsid w:val="00797CA4"/>
    <w:rsid w:val="007A0C15"/>
    <w:rsid w:val="007A2DAF"/>
    <w:rsid w:val="007B35FA"/>
    <w:rsid w:val="007B4EF5"/>
    <w:rsid w:val="007B67A6"/>
    <w:rsid w:val="007C242E"/>
    <w:rsid w:val="007C2A29"/>
    <w:rsid w:val="007C4EB1"/>
    <w:rsid w:val="007D4007"/>
    <w:rsid w:val="007E527B"/>
    <w:rsid w:val="007F1A08"/>
    <w:rsid w:val="007F1BEA"/>
    <w:rsid w:val="007F6754"/>
    <w:rsid w:val="007F6E41"/>
    <w:rsid w:val="00800801"/>
    <w:rsid w:val="008045EB"/>
    <w:rsid w:val="00810E07"/>
    <w:rsid w:val="00822F06"/>
    <w:rsid w:val="00823A68"/>
    <w:rsid w:val="0082655F"/>
    <w:rsid w:val="008271B4"/>
    <w:rsid w:val="00841278"/>
    <w:rsid w:val="00843F64"/>
    <w:rsid w:val="008469E7"/>
    <w:rsid w:val="008503CE"/>
    <w:rsid w:val="008538DA"/>
    <w:rsid w:val="00860EAE"/>
    <w:rsid w:val="00863D07"/>
    <w:rsid w:val="008702B5"/>
    <w:rsid w:val="008742CA"/>
    <w:rsid w:val="0087604E"/>
    <w:rsid w:val="00877552"/>
    <w:rsid w:val="0088720C"/>
    <w:rsid w:val="00891A75"/>
    <w:rsid w:val="008921A0"/>
    <w:rsid w:val="008935ED"/>
    <w:rsid w:val="00894308"/>
    <w:rsid w:val="008A1DA5"/>
    <w:rsid w:val="008B5569"/>
    <w:rsid w:val="008C1F06"/>
    <w:rsid w:val="008C3C8B"/>
    <w:rsid w:val="008D1287"/>
    <w:rsid w:val="008D79FF"/>
    <w:rsid w:val="008E0470"/>
    <w:rsid w:val="008E41F9"/>
    <w:rsid w:val="0091029C"/>
    <w:rsid w:val="0091685A"/>
    <w:rsid w:val="009214FB"/>
    <w:rsid w:val="00931FB3"/>
    <w:rsid w:val="00932EE8"/>
    <w:rsid w:val="00935D94"/>
    <w:rsid w:val="009418EC"/>
    <w:rsid w:val="0094465F"/>
    <w:rsid w:val="00946B63"/>
    <w:rsid w:val="00950D53"/>
    <w:rsid w:val="00970A86"/>
    <w:rsid w:val="00974CAE"/>
    <w:rsid w:val="009770BF"/>
    <w:rsid w:val="0098393B"/>
    <w:rsid w:val="00985A8A"/>
    <w:rsid w:val="00992378"/>
    <w:rsid w:val="00995A98"/>
    <w:rsid w:val="00996E74"/>
    <w:rsid w:val="009A19DF"/>
    <w:rsid w:val="009A6ED1"/>
    <w:rsid w:val="009D2AA9"/>
    <w:rsid w:val="009D2F97"/>
    <w:rsid w:val="009E48A6"/>
    <w:rsid w:val="009E6793"/>
    <w:rsid w:val="009F74AC"/>
    <w:rsid w:val="00A036BF"/>
    <w:rsid w:val="00A049BA"/>
    <w:rsid w:val="00A1775A"/>
    <w:rsid w:val="00A2024B"/>
    <w:rsid w:val="00A21E6C"/>
    <w:rsid w:val="00A260D2"/>
    <w:rsid w:val="00A26740"/>
    <w:rsid w:val="00A2720C"/>
    <w:rsid w:val="00A329D2"/>
    <w:rsid w:val="00A43C91"/>
    <w:rsid w:val="00A464B3"/>
    <w:rsid w:val="00A55FA9"/>
    <w:rsid w:val="00A56AE7"/>
    <w:rsid w:val="00A66D7F"/>
    <w:rsid w:val="00A862E5"/>
    <w:rsid w:val="00A92C4C"/>
    <w:rsid w:val="00AC3A9F"/>
    <w:rsid w:val="00AD0E87"/>
    <w:rsid w:val="00AD15ED"/>
    <w:rsid w:val="00AD419B"/>
    <w:rsid w:val="00AE032B"/>
    <w:rsid w:val="00AE3AF3"/>
    <w:rsid w:val="00AE6184"/>
    <w:rsid w:val="00AE654D"/>
    <w:rsid w:val="00AF1F7A"/>
    <w:rsid w:val="00AF47E6"/>
    <w:rsid w:val="00AF6AB9"/>
    <w:rsid w:val="00B00F15"/>
    <w:rsid w:val="00B02259"/>
    <w:rsid w:val="00B15B98"/>
    <w:rsid w:val="00B2003D"/>
    <w:rsid w:val="00B2148E"/>
    <w:rsid w:val="00B2212E"/>
    <w:rsid w:val="00B224F9"/>
    <w:rsid w:val="00B27B53"/>
    <w:rsid w:val="00B31E73"/>
    <w:rsid w:val="00B4481D"/>
    <w:rsid w:val="00B45A3F"/>
    <w:rsid w:val="00B474FF"/>
    <w:rsid w:val="00B47AF1"/>
    <w:rsid w:val="00B51134"/>
    <w:rsid w:val="00B517C2"/>
    <w:rsid w:val="00B602A4"/>
    <w:rsid w:val="00B86B3B"/>
    <w:rsid w:val="00B92DAE"/>
    <w:rsid w:val="00B97E6D"/>
    <w:rsid w:val="00BA5082"/>
    <w:rsid w:val="00BB4C19"/>
    <w:rsid w:val="00BD3278"/>
    <w:rsid w:val="00BD6370"/>
    <w:rsid w:val="00BF0FD1"/>
    <w:rsid w:val="00BF19B8"/>
    <w:rsid w:val="00BF289B"/>
    <w:rsid w:val="00BF76F4"/>
    <w:rsid w:val="00C06EC5"/>
    <w:rsid w:val="00C13F68"/>
    <w:rsid w:val="00C14F92"/>
    <w:rsid w:val="00C17FA4"/>
    <w:rsid w:val="00C2176F"/>
    <w:rsid w:val="00C22471"/>
    <w:rsid w:val="00C24905"/>
    <w:rsid w:val="00C3160A"/>
    <w:rsid w:val="00C37857"/>
    <w:rsid w:val="00C50BD4"/>
    <w:rsid w:val="00C52369"/>
    <w:rsid w:val="00C6577B"/>
    <w:rsid w:val="00C660FA"/>
    <w:rsid w:val="00C67FF3"/>
    <w:rsid w:val="00C95033"/>
    <w:rsid w:val="00C96993"/>
    <w:rsid w:val="00CA16C6"/>
    <w:rsid w:val="00CA2568"/>
    <w:rsid w:val="00CA324A"/>
    <w:rsid w:val="00CB2F4E"/>
    <w:rsid w:val="00CB5962"/>
    <w:rsid w:val="00CB5CCB"/>
    <w:rsid w:val="00CC1F70"/>
    <w:rsid w:val="00CE7CF6"/>
    <w:rsid w:val="00CF083E"/>
    <w:rsid w:val="00D0632F"/>
    <w:rsid w:val="00D0762E"/>
    <w:rsid w:val="00D07A73"/>
    <w:rsid w:val="00D2153E"/>
    <w:rsid w:val="00D3590F"/>
    <w:rsid w:val="00D37AC1"/>
    <w:rsid w:val="00D42BE8"/>
    <w:rsid w:val="00D463C9"/>
    <w:rsid w:val="00D465F9"/>
    <w:rsid w:val="00D477F8"/>
    <w:rsid w:val="00D5196E"/>
    <w:rsid w:val="00D546AC"/>
    <w:rsid w:val="00D558CB"/>
    <w:rsid w:val="00D610E1"/>
    <w:rsid w:val="00D71B54"/>
    <w:rsid w:val="00D71B7D"/>
    <w:rsid w:val="00D8240B"/>
    <w:rsid w:val="00D86086"/>
    <w:rsid w:val="00D91A25"/>
    <w:rsid w:val="00D93532"/>
    <w:rsid w:val="00D93999"/>
    <w:rsid w:val="00D968AF"/>
    <w:rsid w:val="00DB1360"/>
    <w:rsid w:val="00DB40D8"/>
    <w:rsid w:val="00DC7D0B"/>
    <w:rsid w:val="00DD5B79"/>
    <w:rsid w:val="00DE2662"/>
    <w:rsid w:val="00DF0B5B"/>
    <w:rsid w:val="00E016C4"/>
    <w:rsid w:val="00E13CB0"/>
    <w:rsid w:val="00E140AD"/>
    <w:rsid w:val="00E15A53"/>
    <w:rsid w:val="00E27637"/>
    <w:rsid w:val="00E31179"/>
    <w:rsid w:val="00E371F0"/>
    <w:rsid w:val="00E55677"/>
    <w:rsid w:val="00E5600A"/>
    <w:rsid w:val="00E56B9C"/>
    <w:rsid w:val="00E57DE5"/>
    <w:rsid w:val="00E86FF3"/>
    <w:rsid w:val="00E8740A"/>
    <w:rsid w:val="00E9023E"/>
    <w:rsid w:val="00EB5E83"/>
    <w:rsid w:val="00EB6537"/>
    <w:rsid w:val="00EB72FD"/>
    <w:rsid w:val="00EC0C43"/>
    <w:rsid w:val="00EC4EF8"/>
    <w:rsid w:val="00EC5755"/>
    <w:rsid w:val="00EC660C"/>
    <w:rsid w:val="00ED327C"/>
    <w:rsid w:val="00ED5AB2"/>
    <w:rsid w:val="00EE296D"/>
    <w:rsid w:val="00F0114F"/>
    <w:rsid w:val="00F02F61"/>
    <w:rsid w:val="00F06120"/>
    <w:rsid w:val="00F1117F"/>
    <w:rsid w:val="00F14BC2"/>
    <w:rsid w:val="00F1617C"/>
    <w:rsid w:val="00F17EDA"/>
    <w:rsid w:val="00F32DDB"/>
    <w:rsid w:val="00F425CC"/>
    <w:rsid w:val="00F42C61"/>
    <w:rsid w:val="00F47B2A"/>
    <w:rsid w:val="00F547BC"/>
    <w:rsid w:val="00F57ABE"/>
    <w:rsid w:val="00F61C39"/>
    <w:rsid w:val="00F637E1"/>
    <w:rsid w:val="00F92044"/>
    <w:rsid w:val="00F95A4B"/>
    <w:rsid w:val="00F96065"/>
    <w:rsid w:val="00FA0DF9"/>
    <w:rsid w:val="00FA1C52"/>
    <w:rsid w:val="00FA73F3"/>
    <w:rsid w:val="00FA7F5C"/>
    <w:rsid w:val="00FB32C8"/>
    <w:rsid w:val="00FB4991"/>
    <w:rsid w:val="00FC67A8"/>
    <w:rsid w:val="00FD2EAA"/>
    <w:rsid w:val="00FE628E"/>
    <w:rsid w:val="00FE76BA"/>
    <w:rsid w:val="00FF008E"/>
    <w:rsid w:val="00FF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0B"/>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val="x-none"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val="x-none"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val="x-none"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val="x-none"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val="x-none"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val="x-none"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val="x-none"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val="x-none"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val="x-none"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val="x-none"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val="x-none"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val="x-none"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val="x-none"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val="x-none"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val="x-none"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59"/>
    <w:rsid w:val="0040630B"/>
    <w:pPr>
      <w:spacing w:after="0" w:line="240" w:lineRule="auto"/>
    </w:pPr>
    <w:rPr>
      <w:rFonts w:ascii="Arial"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unhideWhenUsed/>
    <w:rsid w:val="004F3510"/>
    <w:pPr>
      <w:spacing w:after="120"/>
      <w:ind w:left="283"/>
    </w:pPr>
  </w:style>
  <w:style w:type="character" w:customStyle="1" w:styleId="BodyTextIndentChar">
    <w:name w:val="Body Text Indent Char"/>
    <w:basedOn w:val="DefaultParagraphFont"/>
    <w:link w:val="BodyTextIndent"/>
    <w:uiPriority w:val="99"/>
    <w:locked/>
    <w:rsid w:val="004F3510"/>
    <w:rPr>
      <w:rFonts w:ascii="Arial" w:hAnsi="Arial" w:cs="Arial"/>
      <w:sz w:val="24"/>
      <w:szCs w:val="24"/>
      <w:lang w:val="x-none"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0B"/>
    <w:pPr>
      <w:spacing w:after="0" w:line="240" w:lineRule="auto"/>
    </w:pPr>
    <w:rPr>
      <w:rFonts w:ascii="Arial" w:hAnsi="Arial" w:cs="Arial"/>
      <w:sz w:val="24"/>
      <w:szCs w:val="24"/>
      <w:lang w:eastAsia="en-GB"/>
    </w:rPr>
  </w:style>
  <w:style w:type="paragraph" w:styleId="Heading2">
    <w:name w:val="heading 2"/>
    <w:basedOn w:val="Normal"/>
    <w:next w:val="Normal"/>
    <w:link w:val="Heading2Char"/>
    <w:uiPriority w:val="99"/>
    <w:qFormat/>
    <w:rsid w:val="0040630B"/>
    <w:pPr>
      <w:keepNext/>
      <w:jc w:val="center"/>
      <w:outlineLvl w:val="1"/>
    </w:pPr>
    <w:rPr>
      <w:b/>
      <w:bCs/>
      <w:sz w:val="18"/>
      <w:szCs w:val="18"/>
    </w:rPr>
  </w:style>
  <w:style w:type="paragraph" w:styleId="Heading3">
    <w:name w:val="heading 3"/>
    <w:basedOn w:val="Normal"/>
    <w:next w:val="Normal"/>
    <w:link w:val="Heading3Char"/>
    <w:uiPriority w:val="99"/>
    <w:qFormat/>
    <w:rsid w:val="0040630B"/>
    <w:pPr>
      <w:keepNext/>
      <w:spacing w:before="240" w:after="60"/>
      <w:outlineLvl w:val="2"/>
    </w:pPr>
    <w:rPr>
      <w:b/>
      <w:bCs/>
      <w:sz w:val="26"/>
      <w:szCs w:val="26"/>
    </w:rPr>
  </w:style>
  <w:style w:type="paragraph" w:styleId="Heading4">
    <w:name w:val="heading 4"/>
    <w:basedOn w:val="Normal"/>
    <w:next w:val="Normal"/>
    <w:link w:val="Heading4Char"/>
    <w:uiPriority w:val="99"/>
    <w:qFormat/>
    <w:rsid w:val="0040630B"/>
    <w:pPr>
      <w:keepNext/>
      <w:jc w:val="right"/>
      <w:outlineLvl w:val="3"/>
    </w:pPr>
    <w:rPr>
      <w:b/>
      <w:bCs/>
    </w:rPr>
  </w:style>
  <w:style w:type="paragraph" w:styleId="Heading5">
    <w:name w:val="heading 5"/>
    <w:basedOn w:val="Normal"/>
    <w:next w:val="Normal"/>
    <w:link w:val="Heading5Char"/>
    <w:uiPriority w:val="99"/>
    <w:qFormat/>
    <w:rsid w:val="0040630B"/>
    <w:pPr>
      <w:keepNext/>
      <w:outlineLvl w:val="4"/>
    </w:pPr>
    <w:rPr>
      <w:rFonts w:ascii="Univers" w:hAnsi="Univers" w:cs="Univers"/>
      <w:b/>
      <w:bCs/>
      <w:u w:val="single"/>
    </w:rPr>
  </w:style>
  <w:style w:type="paragraph" w:styleId="Heading6">
    <w:name w:val="heading 6"/>
    <w:basedOn w:val="Normal"/>
    <w:next w:val="Normal"/>
    <w:link w:val="Heading6Char"/>
    <w:uiPriority w:val="99"/>
    <w:qFormat/>
    <w:rsid w:val="0040630B"/>
    <w:pPr>
      <w:keepNext/>
      <w:outlineLvl w:val="5"/>
    </w:pPr>
    <w:rPr>
      <w:rFonts w:ascii="Univers" w:hAnsi="Univers" w:cs="Univers"/>
      <w:b/>
      <w:bCs/>
    </w:rPr>
  </w:style>
  <w:style w:type="paragraph" w:styleId="Heading7">
    <w:name w:val="heading 7"/>
    <w:basedOn w:val="Normal"/>
    <w:next w:val="Normal"/>
    <w:link w:val="Heading7Char"/>
    <w:uiPriority w:val="99"/>
    <w:qFormat/>
    <w:rsid w:val="0040630B"/>
    <w:pPr>
      <w:keepNext/>
      <w:outlineLvl w:val="6"/>
    </w:pPr>
    <w:rPr>
      <w:rFonts w:ascii="Univers" w:hAnsi="Univers" w:cs="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0630B"/>
    <w:rPr>
      <w:rFonts w:ascii="Arial" w:hAnsi="Arial" w:cs="Arial"/>
      <w:b/>
      <w:bCs/>
      <w:sz w:val="18"/>
      <w:szCs w:val="18"/>
      <w:lang w:val="x-none" w:eastAsia="en-GB"/>
    </w:rPr>
  </w:style>
  <w:style w:type="character" w:customStyle="1" w:styleId="Heading3Char">
    <w:name w:val="Heading 3 Char"/>
    <w:basedOn w:val="DefaultParagraphFont"/>
    <w:link w:val="Heading3"/>
    <w:uiPriority w:val="99"/>
    <w:locked/>
    <w:rsid w:val="0040630B"/>
    <w:rPr>
      <w:rFonts w:ascii="Arial" w:hAnsi="Arial" w:cs="Arial"/>
      <w:b/>
      <w:bCs/>
      <w:sz w:val="26"/>
      <w:szCs w:val="26"/>
      <w:lang w:val="x-none" w:eastAsia="en-GB"/>
    </w:rPr>
  </w:style>
  <w:style w:type="character" w:customStyle="1" w:styleId="Heading4Char">
    <w:name w:val="Heading 4 Char"/>
    <w:basedOn w:val="DefaultParagraphFont"/>
    <w:link w:val="Heading4"/>
    <w:uiPriority w:val="99"/>
    <w:locked/>
    <w:rsid w:val="0040630B"/>
    <w:rPr>
      <w:rFonts w:ascii="Arial" w:hAnsi="Arial" w:cs="Arial"/>
      <w:b/>
      <w:bCs/>
      <w:sz w:val="24"/>
      <w:szCs w:val="24"/>
      <w:lang w:val="x-none" w:eastAsia="en-GB"/>
    </w:rPr>
  </w:style>
  <w:style w:type="character" w:customStyle="1" w:styleId="Heading5Char">
    <w:name w:val="Heading 5 Char"/>
    <w:basedOn w:val="DefaultParagraphFont"/>
    <w:link w:val="Heading5"/>
    <w:uiPriority w:val="99"/>
    <w:locked/>
    <w:rsid w:val="0040630B"/>
    <w:rPr>
      <w:rFonts w:ascii="Univers" w:hAnsi="Univers" w:cs="Univers"/>
      <w:b/>
      <w:bCs/>
      <w:sz w:val="24"/>
      <w:szCs w:val="24"/>
      <w:u w:val="single"/>
      <w:lang w:val="x-none" w:eastAsia="en-GB"/>
    </w:rPr>
  </w:style>
  <w:style w:type="character" w:customStyle="1" w:styleId="Heading6Char">
    <w:name w:val="Heading 6 Char"/>
    <w:basedOn w:val="DefaultParagraphFont"/>
    <w:link w:val="Heading6"/>
    <w:uiPriority w:val="99"/>
    <w:locked/>
    <w:rsid w:val="0040630B"/>
    <w:rPr>
      <w:rFonts w:ascii="Univers" w:hAnsi="Univers" w:cs="Univers"/>
      <w:b/>
      <w:bCs/>
      <w:sz w:val="24"/>
      <w:szCs w:val="24"/>
      <w:lang w:val="x-none" w:eastAsia="en-GB"/>
    </w:rPr>
  </w:style>
  <w:style w:type="character" w:customStyle="1" w:styleId="Heading7Char">
    <w:name w:val="Heading 7 Char"/>
    <w:basedOn w:val="DefaultParagraphFont"/>
    <w:link w:val="Heading7"/>
    <w:uiPriority w:val="99"/>
    <w:locked/>
    <w:rsid w:val="0040630B"/>
    <w:rPr>
      <w:rFonts w:ascii="Univers" w:hAnsi="Univers" w:cs="Univers"/>
      <w:sz w:val="24"/>
      <w:szCs w:val="24"/>
      <w:u w:val="single"/>
      <w:lang w:val="x-none" w:eastAsia="en-GB"/>
    </w:rPr>
  </w:style>
  <w:style w:type="paragraph" w:styleId="Header">
    <w:name w:val="header"/>
    <w:basedOn w:val="Normal"/>
    <w:link w:val="HeaderChar"/>
    <w:uiPriority w:val="99"/>
    <w:rsid w:val="0040630B"/>
    <w:rPr>
      <w:rFonts w:ascii="Universal" w:hAnsi="Times New Roman" w:cs="Universal"/>
    </w:rPr>
  </w:style>
  <w:style w:type="character" w:customStyle="1" w:styleId="HeaderChar">
    <w:name w:val="Header Char"/>
    <w:basedOn w:val="DefaultParagraphFont"/>
    <w:link w:val="Header"/>
    <w:uiPriority w:val="99"/>
    <w:locked/>
    <w:rsid w:val="0040630B"/>
    <w:rPr>
      <w:rFonts w:ascii="Universal" w:eastAsia="Times New Roman" w:cs="Universal"/>
      <w:sz w:val="24"/>
      <w:szCs w:val="24"/>
      <w:lang w:val="x-none" w:eastAsia="en-GB"/>
    </w:rPr>
  </w:style>
  <w:style w:type="paragraph" w:styleId="BodyText2">
    <w:name w:val="Body Text 2"/>
    <w:basedOn w:val="Normal"/>
    <w:link w:val="BodyText2Char"/>
    <w:uiPriority w:val="99"/>
    <w:rsid w:val="0040630B"/>
    <w:pPr>
      <w:spacing w:after="240"/>
      <w:ind w:left="720"/>
    </w:pPr>
  </w:style>
  <w:style w:type="character" w:customStyle="1" w:styleId="BodyText2Char">
    <w:name w:val="Body Text 2 Char"/>
    <w:basedOn w:val="DefaultParagraphFont"/>
    <w:link w:val="BodyText2"/>
    <w:uiPriority w:val="99"/>
    <w:semiHidden/>
    <w:locked/>
    <w:rsid w:val="0040630B"/>
    <w:rPr>
      <w:rFonts w:ascii="Arial" w:hAnsi="Arial" w:cs="Arial"/>
      <w:sz w:val="24"/>
      <w:szCs w:val="24"/>
      <w:lang w:val="x-none" w:eastAsia="en-GB"/>
    </w:rPr>
  </w:style>
  <w:style w:type="paragraph" w:styleId="BodyText">
    <w:name w:val="Body Text"/>
    <w:basedOn w:val="Normal"/>
    <w:link w:val="BodyTextChar"/>
    <w:uiPriority w:val="99"/>
    <w:rsid w:val="0040630B"/>
  </w:style>
  <w:style w:type="character" w:customStyle="1" w:styleId="BodyTextChar">
    <w:name w:val="Body Text Char"/>
    <w:basedOn w:val="DefaultParagraphFont"/>
    <w:link w:val="BodyText"/>
    <w:uiPriority w:val="99"/>
    <w:locked/>
    <w:rsid w:val="0040630B"/>
    <w:rPr>
      <w:rFonts w:ascii="Arial" w:hAnsi="Arial" w:cs="Arial"/>
      <w:sz w:val="24"/>
      <w:szCs w:val="24"/>
      <w:lang w:val="x-none" w:eastAsia="en-GB"/>
    </w:rPr>
  </w:style>
  <w:style w:type="paragraph" w:styleId="Footer">
    <w:name w:val="footer"/>
    <w:basedOn w:val="Normal"/>
    <w:link w:val="FooterChar"/>
    <w:uiPriority w:val="99"/>
    <w:rsid w:val="0040630B"/>
    <w:pPr>
      <w:tabs>
        <w:tab w:val="center" w:pos="4153"/>
        <w:tab w:val="right" w:pos="8306"/>
      </w:tabs>
    </w:pPr>
  </w:style>
  <w:style w:type="character" w:customStyle="1" w:styleId="FooterChar">
    <w:name w:val="Footer Char"/>
    <w:basedOn w:val="DefaultParagraphFont"/>
    <w:link w:val="Footer"/>
    <w:uiPriority w:val="99"/>
    <w:locked/>
    <w:rsid w:val="0040630B"/>
    <w:rPr>
      <w:rFonts w:ascii="Arial" w:hAnsi="Arial" w:cs="Arial"/>
      <w:sz w:val="24"/>
      <w:szCs w:val="24"/>
      <w:lang w:val="x-none" w:eastAsia="en-GB"/>
    </w:rPr>
  </w:style>
  <w:style w:type="character" w:styleId="PageNumber">
    <w:name w:val="page number"/>
    <w:basedOn w:val="DefaultParagraphFont"/>
    <w:uiPriority w:val="99"/>
    <w:rsid w:val="0040630B"/>
    <w:rPr>
      <w:rFonts w:cs="Times New Roman"/>
    </w:rPr>
  </w:style>
  <w:style w:type="paragraph" w:styleId="CommentText">
    <w:name w:val="annotation text"/>
    <w:basedOn w:val="Normal"/>
    <w:link w:val="CommentTextChar"/>
    <w:uiPriority w:val="99"/>
    <w:semiHidden/>
    <w:rsid w:val="0040630B"/>
    <w:rPr>
      <w:sz w:val="20"/>
      <w:szCs w:val="20"/>
    </w:rPr>
  </w:style>
  <w:style w:type="character" w:customStyle="1" w:styleId="CommentTextChar">
    <w:name w:val="Comment Text Char"/>
    <w:basedOn w:val="DefaultParagraphFont"/>
    <w:link w:val="CommentText"/>
    <w:uiPriority w:val="99"/>
    <w:semiHidden/>
    <w:locked/>
    <w:rsid w:val="0040630B"/>
    <w:rPr>
      <w:rFonts w:ascii="Arial" w:hAnsi="Arial" w:cs="Arial"/>
      <w:sz w:val="20"/>
      <w:szCs w:val="20"/>
      <w:lang w:val="x-none" w:eastAsia="en-GB"/>
    </w:rPr>
  </w:style>
  <w:style w:type="paragraph" w:styleId="CommentSubject">
    <w:name w:val="annotation subject"/>
    <w:basedOn w:val="CommentText"/>
    <w:next w:val="CommentText"/>
    <w:link w:val="CommentSubjectChar"/>
    <w:uiPriority w:val="99"/>
    <w:semiHidden/>
    <w:rsid w:val="0040630B"/>
    <w:rPr>
      <w:b/>
      <w:bCs/>
    </w:rPr>
  </w:style>
  <w:style w:type="character" w:customStyle="1" w:styleId="CommentSubjectChar">
    <w:name w:val="Comment Subject Char"/>
    <w:basedOn w:val="CommentTextChar"/>
    <w:link w:val="CommentSubject"/>
    <w:uiPriority w:val="99"/>
    <w:semiHidden/>
    <w:locked/>
    <w:rsid w:val="0040630B"/>
    <w:rPr>
      <w:rFonts w:ascii="Arial" w:hAnsi="Arial" w:cs="Arial"/>
      <w:b/>
      <w:bCs/>
      <w:sz w:val="20"/>
      <w:szCs w:val="20"/>
      <w:lang w:val="x-none" w:eastAsia="en-GB"/>
    </w:rPr>
  </w:style>
  <w:style w:type="paragraph" w:styleId="BalloonText">
    <w:name w:val="Balloon Text"/>
    <w:basedOn w:val="Normal"/>
    <w:link w:val="BalloonTextChar"/>
    <w:uiPriority w:val="99"/>
    <w:semiHidden/>
    <w:rsid w:val="004063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B"/>
    <w:rPr>
      <w:rFonts w:ascii="Tahoma" w:hAnsi="Tahoma" w:cs="Tahoma"/>
      <w:sz w:val="16"/>
      <w:szCs w:val="16"/>
      <w:lang w:val="x-none" w:eastAsia="en-GB"/>
    </w:rPr>
  </w:style>
  <w:style w:type="paragraph" w:styleId="HTMLPreformatted">
    <w:name w:val="HTML Preformatted"/>
    <w:basedOn w:val="Normal"/>
    <w:link w:val="HTMLPreformattedChar"/>
    <w:uiPriority w:val="99"/>
    <w:rsid w:val="0040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0630B"/>
    <w:rPr>
      <w:rFonts w:ascii="Courier New" w:hAnsi="Courier New" w:cs="Courier New"/>
      <w:sz w:val="20"/>
      <w:szCs w:val="20"/>
      <w:lang w:val="x-none" w:eastAsia="en-GB"/>
    </w:rPr>
  </w:style>
  <w:style w:type="paragraph" w:styleId="Caption">
    <w:name w:val="caption"/>
    <w:basedOn w:val="Normal"/>
    <w:next w:val="Normal"/>
    <w:uiPriority w:val="35"/>
    <w:qFormat/>
    <w:rsid w:val="0040630B"/>
    <w:pPr>
      <w:spacing w:after="240"/>
      <w:ind w:left="720"/>
    </w:pPr>
    <w:rPr>
      <w:b/>
      <w:bCs/>
    </w:rPr>
  </w:style>
  <w:style w:type="paragraph" w:styleId="PlainText">
    <w:name w:val="Plain Text"/>
    <w:basedOn w:val="Normal"/>
    <w:link w:val="PlainTextChar"/>
    <w:uiPriority w:val="99"/>
    <w:rsid w:val="0040630B"/>
    <w:rPr>
      <w:rFonts w:ascii="Consolas" w:hAnsi="Consolas" w:cs="Consolas"/>
      <w:sz w:val="21"/>
      <w:szCs w:val="21"/>
    </w:rPr>
  </w:style>
  <w:style w:type="character" w:customStyle="1" w:styleId="PlainTextChar">
    <w:name w:val="Plain Text Char"/>
    <w:basedOn w:val="DefaultParagraphFont"/>
    <w:link w:val="PlainText"/>
    <w:uiPriority w:val="99"/>
    <w:locked/>
    <w:rsid w:val="0040630B"/>
    <w:rPr>
      <w:rFonts w:ascii="Consolas" w:hAnsi="Consolas" w:cs="Consolas"/>
      <w:sz w:val="21"/>
      <w:szCs w:val="21"/>
      <w:lang w:val="x-none" w:eastAsia="en-GB"/>
    </w:rPr>
  </w:style>
  <w:style w:type="paragraph" w:styleId="ListParagraph">
    <w:name w:val="List Paragraph"/>
    <w:basedOn w:val="Normal"/>
    <w:uiPriority w:val="34"/>
    <w:qFormat/>
    <w:rsid w:val="0040630B"/>
    <w:pPr>
      <w:ind w:left="720"/>
      <w:contextualSpacing/>
    </w:pPr>
  </w:style>
  <w:style w:type="table" w:styleId="TableGrid">
    <w:name w:val="Table Grid"/>
    <w:basedOn w:val="TableNormal"/>
    <w:uiPriority w:val="59"/>
    <w:rsid w:val="0040630B"/>
    <w:pPr>
      <w:spacing w:after="0" w:line="240" w:lineRule="auto"/>
    </w:pPr>
    <w:rPr>
      <w:rFonts w:ascii="Arial"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92DAE"/>
    <w:rPr>
      <w:rFonts w:cs="Times New Roman"/>
      <w:sz w:val="16"/>
      <w:szCs w:val="16"/>
    </w:rPr>
  </w:style>
  <w:style w:type="paragraph" w:styleId="BodyTextIndent">
    <w:name w:val="Body Text Indent"/>
    <w:basedOn w:val="Normal"/>
    <w:link w:val="BodyTextIndentChar"/>
    <w:uiPriority w:val="99"/>
    <w:unhideWhenUsed/>
    <w:rsid w:val="004F3510"/>
    <w:pPr>
      <w:spacing w:after="120"/>
      <w:ind w:left="283"/>
    </w:pPr>
  </w:style>
  <w:style w:type="character" w:customStyle="1" w:styleId="BodyTextIndentChar">
    <w:name w:val="Body Text Indent Char"/>
    <w:basedOn w:val="DefaultParagraphFont"/>
    <w:link w:val="BodyTextIndent"/>
    <w:uiPriority w:val="99"/>
    <w:locked/>
    <w:rsid w:val="004F3510"/>
    <w:rPr>
      <w:rFonts w:ascii="Arial" w:hAnsi="Arial" w:cs="Arial"/>
      <w:sz w:val="24"/>
      <w:szCs w:val="24"/>
      <w:lang w:val="x-none" w:eastAsia="en-GB"/>
    </w:rPr>
  </w:style>
  <w:style w:type="paragraph" w:styleId="Revision">
    <w:name w:val="Revision"/>
    <w:hidden/>
    <w:uiPriority w:val="99"/>
    <w:semiHidden/>
    <w:rsid w:val="00FF116C"/>
    <w:pPr>
      <w:spacing w:after="0" w:line="240" w:lineRule="auto"/>
    </w:pPr>
    <w:rPr>
      <w:rFonts w:ascii="Arial" w:hAnsi="Arial" w:cs="Arial"/>
      <w:sz w:val="24"/>
      <w:szCs w:val="24"/>
      <w:lang w:eastAsia="en-GB"/>
    </w:rPr>
  </w:style>
  <w:style w:type="numbering" w:customStyle="1" w:styleId="List1">
    <w:name w:val="List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9842">
      <w:bodyDiv w:val="1"/>
      <w:marLeft w:val="0"/>
      <w:marRight w:val="0"/>
      <w:marTop w:val="0"/>
      <w:marBottom w:val="0"/>
      <w:divBdr>
        <w:top w:val="none" w:sz="0" w:space="0" w:color="auto"/>
        <w:left w:val="none" w:sz="0" w:space="0" w:color="auto"/>
        <w:bottom w:val="none" w:sz="0" w:space="0" w:color="auto"/>
        <w:right w:val="none" w:sz="0" w:space="0" w:color="auto"/>
      </w:divBdr>
    </w:div>
    <w:div w:id="828523625">
      <w:bodyDiv w:val="1"/>
      <w:marLeft w:val="0"/>
      <w:marRight w:val="0"/>
      <w:marTop w:val="0"/>
      <w:marBottom w:val="0"/>
      <w:divBdr>
        <w:top w:val="none" w:sz="0" w:space="0" w:color="auto"/>
        <w:left w:val="none" w:sz="0" w:space="0" w:color="auto"/>
        <w:bottom w:val="none" w:sz="0" w:space="0" w:color="auto"/>
        <w:right w:val="none" w:sz="0" w:space="0" w:color="auto"/>
      </w:divBdr>
    </w:div>
    <w:div w:id="1151294721">
      <w:bodyDiv w:val="1"/>
      <w:marLeft w:val="0"/>
      <w:marRight w:val="0"/>
      <w:marTop w:val="0"/>
      <w:marBottom w:val="0"/>
      <w:divBdr>
        <w:top w:val="none" w:sz="0" w:space="0" w:color="auto"/>
        <w:left w:val="none" w:sz="0" w:space="0" w:color="auto"/>
        <w:bottom w:val="none" w:sz="0" w:space="0" w:color="auto"/>
        <w:right w:val="none" w:sz="0" w:space="0" w:color="auto"/>
      </w:divBdr>
    </w:div>
    <w:div w:id="1276669632">
      <w:bodyDiv w:val="1"/>
      <w:marLeft w:val="0"/>
      <w:marRight w:val="0"/>
      <w:marTop w:val="0"/>
      <w:marBottom w:val="0"/>
      <w:divBdr>
        <w:top w:val="none" w:sz="0" w:space="0" w:color="auto"/>
        <w:left w:val="none" w:sz="0" w:space="0" w:color="auto"/>
        <w:bottom w:val="none" w:sz="0" w:space="0" w:color="auto"/>
        <w:right w:val="none" w:sz="0" w:space="0" w:color="auto"/>
      </w:divBdr>
    </w:div>
    <w:div w:id="12794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0B47-BA95-403B-831F-87949910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7475</Words>
  <Characters>40302</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Gorman, Dave</cp:lastModifiedBy>
  <cp:revision>5</cp:revision>
  <cp:lastPrinted>2014-01-14T18:08:00Z</cp:lastPrinted>
  <dcterms:created xsi:type="dcterms:W3CDTF">2014-01-19T15:04:00Z</dcterms:created>
  <dcterms:modified xsi:type="dcterms:W3CDTF">2014-01-20T14:06:00Z</dcterms:modified>
</cp:coreProperties>
</file>